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bookmarkStart w:id="0" w:name="OLE_LINK29"/>
            <w:r>
              <w:rPr>
                <w:rFonts w:ascii="黑体" w:hAnsi="黑体" w:eastAsia="黑体"/>
                <w:sz w:val="21"/>
                <w:szCs w:val="21"/>
              </w:rPr>
              <w:fldChar w:fldCharType="begin">
                <w:ffData>
                  <w:name w:val="ICS"/>
                  <w:enabled/>
                  <w:calcOnExit w:val="0"/>
                  <w:textInput>
                    <w:default w:val="点击此处添加ICS号"/>
                  </w:textInput>
                </w:ffData>
              </w:fldChar>
            </w:r>
            <w:bookmarkStart w:id="1"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67.080.20</w:t>
            </w:r>
            <w:r>
              <w:rPr>
                <w:rFonts w:ascii="黑体" w:hAnsi="黑体" w:eastAsia="黑体"/>
                <w:sz w:val="21"/>
                <w:szCs w:val="21"/>
              </w:rPr>
              <w:fldChar w:fldCharType="end"/>
            </w:r>
            <w:bookmarkEnd w:id="0"/>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021" w:hRule="exact"/>
              </w:trPr>
              <w:tc>
                <w:tcPr>
                  <w:tcW w:w="9242" w:type="dxa"/>
                  <w:vAlign w:val="center"/>
                </w:tcPr>
                <w:p>
                  <w:pPr>
                    <w:pStyle w:val="59"/>
                    <w:framePr w:wrap="notBeside" w:vAnchor="page" w:hAnchor="page" w:x="1372" w:y="568"/>
                    <w:ind w:left="420" w:right="624"/>
                    <w:rPr>
                      <w:rFonts w:hint="eastAsia"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2" w:name="c1"/>
                  <w:r>
                    <w:instrText xml:space="preserve"> FORMTEXT </w:instrText>
                  </w:r>
                  <w:r>
                    <w:fldChar w:fldCharType="separate"/>
                  </w:r>
                  <w:r>
                    <w:rPr>
                      <w:rFonts w:hint="eastAsia"/>
                    </w:rPr>
                    <w:t>STBZ</w:t>
                  </w:r>
                  <w:r>
                    <w:fldChar w:fldCharType="end"/>
                  </w:r>
                  <w:bookmarkEnd w:id="2"/>
                </w:p>
              </w:tc>
            </w:tr>
          </w:tbl>
          <w:p>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3"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B 31</w:t>
            </w:r>
            <w:r>
              <w:rPr>
                <w:rFonts w:ascii="黑体" w:hAnsi="黑体" w:eastAsia="黑体"/>
                <w:sz w:val="21"/>
                <w:szCs w:val="21"/>
              </w:rPr>
              <w:fldChar w:fldCharType="end"/>
            </w:r>
            <w:bookmarkEnd w:id="3"/>
          </w:p>
        </w:tc>
      </w:tr>
    </w:tbl>
    <w:p>
      <w:pPr>
        <w:pStyle w:val="60"/>
        <w:framePr w:w="9639" w:h="624" w:hRule="exact" w:hSpace="181" w:vSpace="181" w:wrap="around" w:hAnchor="page" w:x="1305" w:y="2269"/>
        <w:rPr>
          <w:rFonts w:hint="eastAsia" w:ascii="黑体" w:hAnsi="黑体" w:eastAsia="黑体"/>
          <w:b w:val="0"/>
          <w:bCs w:val="0"/>
          <w:w w:val="100"/>
          <w:sz w:val="48"/>
          <w:szCs w:val="48"/>
        </w:rPr>
      </w:pPr>
      <w:bookmarkStart w:id="4" w:name="_Hlk26473981"/>
      <w:r>
        <w:rPr>
          <w:rFonts w:ascii="黑体" w:eastAsia="黑体"/>
          <w:b w:val="0"/>
          <w:w w:val="100"/>
          <w:sz w:val="48"/>
        </w:rPr>
        <w:fldChar w:fldCharType="begin">
          <w:ffData>
            <w:name w:val="c2"/>
            <w:enabled/>
            <w:calcOnExit w:val="0"/>
            <w:textInput/>
          </w:ffData>
        </w:fldChar>
      </w:r>
      <w:bookmarkStart w:id="5"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汕头市标准化协会</w:t>
      </w:r>
      <w:r>
        <w:rPr>
          <w:rFonts w:ascii="黑体" w:eastAsia="黑体"/>
          <w:b w:val="0"/>
          <w:w w:val="100"/>
          <w:sz w:val="48"/>
        </w:rPr>
        <w:fldChar w:fldCharType="end"/>
      </w:r>
      <w:bookmarkEnd w:id="5"/>
      <w:r>
        <w:rPr>
          <w:rFonts w:hint="eastAsia" w:ascii="黑体" w:eastAsia="黑体"/>
          <w:b w:val="0"/>
          <w:w w:val="100"/>
          <w:sz w:val="48"/>
        </w:rPr>
        <w:t>团体</w:t>
      </w:r>
      <w:r>
        <w:rPr>
          <w:rFonts w:hint="eastAsia" w:ascii="黑体" w:hAnsi="黑体" w:eastAsia="黑体"/>
          <w:b w:val="0"/>
          <w:bCs w:val="0"/>
          <w:w w:val="100"/>
          <w:sz w:val="48"/>
          <w:szCs w:val="48"/>
        </w:rPr>
        <w:t>标准</w:t>
      </w:r>
    </w:p>
    <w:bookmarkEnd w:id="4"/>
    <w:p>
      <w:pPr>
        <w:pStyle w:val="205"/>
      </w:pPr>
      <w:r>
        <w:t>T/</w:t>
      </w:r>
      <w:r>
        <w:fldChar w:fldCharType="begin">
          <w:ffData>
            <w:name w:val="文字1"/>
            <w:enabled/>
            <w:calcOnExit w:val="0"/>
            <w:textInput>
              <w:default w:val="XXX"/>
            </w:textInput>
          </w:ffData>
        </w:fldChar>
      </w:r>
      <w:bookmarkStart w:id="6" w:name="文字1"/>
      <w:r>
        <w:instrText xml:space="preserve"> FORMTEXT </w:instrText>
      </w:r>
      <w:r>
        <w:fldChar w:fldCharType="separate"/>
      </w:r>
      <w:r>
        <w:rPr>
          <w:rFonts w:hint="eastAsia"/>
        </w:rPr>
        <w:t>STBZ</w:t>
      </w:r>
      <w:r>
        <w:fldChar w:fldCharType="end"/>
      </w:r>
      <w:bookmarkEnd w:id="6"/>
      <w:r>
        <w:t xml:space="preserve"> </w:t>
      </w:r>
      <w:r>
        <w:fldChar w:fldCharType="begin">
          <w:ffData>
            <w:name w:val="NSTD_CODE_F"/>
            <w:enabled/>
            <w:calcOnExit w:val="0"/>
            <w:textInput>
              <w:default w:val="XXXX"/>
            </w:textInput>
          </w:ffData>
        </w:fldChar>
      </w:r>
      <w:bookmarkStart w:id="7" w:name="NSTD_CODE_F"/>
      <w:r>
        <w:instrText xml:space="preserve"> FORMTEXT </w:instrText>
      </w:r>
      <w:r>
        <w:fldChar w:fldCharType="separate"/>
      </w:r>
      <w:r>
        <w:t>XXXX</w:t>
      </w:r>
      <w:r>
        <w:fldChar w:fldCharType="end"/>
      </w:r>
      <w:bookmarkEnd w:id="7"/>
      <w:r>
        <w:rPr>
          <w:rFonts w:hAnsi="黑体"/>
        </w:rPr>
        <w:t>—</w:t>
      </w:r>
      <w:r>
        <w:fldChar w:fldCharType="begin">
          <w:ffData>
            <w:name w:val="NSTD_CODE_B"/>
            <w:enabled/>
            <w:calcOnExit w:val="0"/>
            <w:textInput>
              <w:default w:val="XXXX"/>
            </w:textInput>
          </w:ffData>
        </w:fldChar>
      </w:r>
      <w:bookmarkStart w:id="8" w:name="NSTD_CODE_B"/>
      <w:r>
        <w:instrText xml:space="preserve"> FORMTEXT </w:instrText>
      </w:r>
      <w:r>
        <w:fldChar w:fldCharType="separate"/>
      </w:r>
      <w:r>
        <w:rPr>
          <w:rFonts w:hint="eastAsia"/>
        </w:rPr>
        <w:t>2025</w:t>
      </w:r>
      <w:r>
        <w:fldChar w:fldCharType="end"/>
      </w:r>
      <w:bookmarkEnd w:id="8"/>
    </w:p>
    <w:p>
      <w:pPr>
        <w:pStyle w:val="206"/>
        <w:rPr>
          <w:rFonts w:hint="eastAsia" w:hAnsi="黑体"/>
        </w:rPr>
      </w:pPr>
      <w:r>
        <w:rPr>
          <w:rFonts w:hAnsi="黑体"/>
        </w:rPr>
        <w:fldChar w:fldCharType="begin">
          <w:ffData>
            <w:name w:val="OSTD_CODE"/>
            <w:enabled/>
            <w:calcOnExit w:val="0"/>
            <w:textInput/>
          </w:ffData>
        </w:fldChar>
      </w:r>
      <w:bookmarkStart w:id="9"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9"/>
    </w:p>
    <w:p>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60"/>
        <w:framePr w:w="9639" w:h="6976" w:hRule="exact" w:hSpace="0" w:vSpace="0" w:wrap="around" w:hAnchor="page" w:y="6408"/>
        <w:jc w:val="center"/>
        <w:rPr>
          <w:rFonts w:hint="eastAsia" w:ascii="黑体" w:hAnsi="黑体" w:eastAsia="黑体"/>
          <w:b w:val="0"/>
          <w:bCs w:val="0"/>
          <w:w w:val="100"/>
        </w:rPr>
      </w:pPr>
    </w:p>
    <w:p>
      <w:pPr>
        <w:pStyle w:val="207"/>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10" w:name="CSTD_NAME"/>
      <w:r>
        <w:instrText xml:space="preserve"> FORMTEXT </w:instrText>
      </w:r>
      <w:r>
        <w:fldChar w:fldCharType="separate"/>
      </w:r>
      <w:r>
        <w:rPr>
          <w:rFonts w:hint="eastAsia"/>
        </w:rPr>
        <w:t>菜用黄麻质量分级</w:t>
      </w:r>
      <w:r>
        <w:fldChar w:fldCharType="end"/>
      </w:r>
      <w:bookmarkEnd w:id="10"/>
    </w:p>
    <w:p>
      <w:pPr>
        <w:framePr w:w="9639" w:h="6974" w:hRule="exact" w:wrap="around" w:vAnchor="page" w:hAnchor="page" w:x="1419" w:y="6408" w:anchorLock="1"/>
        <w:ind w:left="-1418"/>
      </w:pPr>
    </w:p>
    <w:p>
      <w:pPr>
        <w:pStyle w:val="13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1" w:name="ESTD_NAME"/>
      <w:r>
        <w:rPr>
          <w:rFonts w:eastAsia="黑体"/>
          <w:szCs w:val="28"/>
        </w:rPr>
        <w:instrText xml:space="preserve"> FORMTEXT </w:instrText>
      </w:r>
      <w:r>
        <w:rPr>
          <w:rFonts w:eastAsia="黑体"/>
          <w:szCs w:val="28"/>
        </w:rPr>
        <w:fldChar w:fldCharType="separate"/>
      </w:r>
      <w:r>
        <w:rPr>
          <w:rFonts w:hint="eastAsia" w:eastAsia="黑体"/>
          <w:szCs w:val="28"/>
        </w:rPr>
        <w:t>Quality Grading Standard for Vegetable Jute</w:t>
      </w:r>
      <w:r>
        <w:rPr>
          <w:rFonts w:eastAsia="黑体"/>
          <w:szCs w:val="28"/>
        </w:rPr>
        <w:fldChar w:fldCharType="end"/>
      </w:r>
      <w:bookmarkEnd w:id="11"/>
    </w:p>
    <w:p>
      <w:pPr>
        <w:framePr w:w="9639" w:h="6974" w:hRule="exact" w:wrap="around" w:vAnchor="page" w:hAnchor="page" w:x="1419" w:y="6408" w:anchorLock="1"/>
        <w:spacing w:line="760" w:lineRule="exact"/>
        <w:ind w:left="-1418"/>
      </w:pPr>
    </w:p>
    <w:p>
      <w:pPr>
        <w:pStyle w:val="135"/>
        <w:framePr w:w="9639" w:h="6974" w:hRule="exact" w:wrap="around" w:vAnchor="page" w:hAnchor="page" w:x="1419" w:y="6408" w:anchorLock="1"/>
        <w:textAlignment w:val="bottom"/>
        <w:rPr>
          <w:rFonts w:eastAsia="黑体"/>
          <w:szCs w:val="28"/>
        </w:rPr>
      </w:pPr>
    </w:p>
    <w:p>
      <w:pPr>
        <w:pStyle w:val="13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2" w:name="下拉1"/>
      <w:r>
        <w:rPr>
          <w:sz w:val="24"/>
          <w:szCs w:val="28"/>
        </w:rPr>
        <w:instrText xml:space="preserve"> FORMDROPDOWN </w:instrText>
      </w:r>
      <w:r>
        <w:rPr>
          <w:sz w:val="24"/>
          <w:szCs w:val="28"/>
        </w:rPr>
        <w:fldChar w:fldCharType="separate"/>
      </w:r>
      <w:r>
        <w:rPr>
          <w:sz w:val="24"/>
          <w:szCs w:val="28"/>
        </w:rPr>
        <w:fldChar w:fldCharType="end"/>
      </w:r>
      <w:bookmarkEnd w:id="12"/>
    </w:p>
    <w:p>
      <w:pPr>
        <w:pStyle w:val="13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3" w:name="CMPLSH_DATE"/>
      <w:r>
        <w:rPr>
          <w:sz w:val="21"/>
          <w:szCs w:val="28"/>
        </w:rPr>
        <w:instrText xml:space="preserve"> FORMTEXT </w:instrText>
      </w:r>
      <w:r>
        <w:rPr>
          <w:sz w:val="21"/>
          <w:szCs w:val="28"/>
        </w:rPr>
        <w:fldChar w:fldCharType="separate"/>
      </w:r>
      <w:r>
        <w:rPr>
          <w:sz w:val="21"/>
          <w:szCs w:val="28"/>
        </w:rPr>
        <w:t>（本草案完成时间：</w:t>
      </w:r>
      <w:r>
        <w:rPr>
          <w:rFonts w:hint="eastAsia"/>
          <w:sz w:val="21"/>
          <w:szCs w:val="28"/>
        </w:rPr>
        <w:t>2025-08-26</w:t>
      </w:r>
      <w:r>
        <w:rPr>
          <w:sz w:val="21"/>
          <w:szCs w:val="28"/>
        </w:rPr>
        <w:t>）</w:t>
      </w:r>
      <w:r>
        <w:rPr>
          <w:sz w:val="21"/>
          <w:szCs w:val="28"/>
        </w:rPr>
        <w:fldChar w:fldCharType="end"/>
      </w:r>
      <w:bookmarkEnd w:id="13"/>
    </w:p>
    <w:p>
      <w:pPr>
        <w:pStyle w:val="13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4" w:name="下拉2"/>
      <w:r>
        <w:rPr>
          <w:b/>
          <w:sz w:val="21"/>
          <w:szCs w:val="28"/>
        </w:rPr>
        <w:instrText xml:space="preserve"> FORMDROPDOWN </w:instrText>
      </w:r>
      <w:r>
        <w:rPr>
          <w:b/>
          <w:sz w:val="21"/>
          <w:szCs w:val="28"/>
        </w:rPr>
        <w:fldChar w:fldCharType="separate"/>
      </w:r>
      <w:r>
        <w:rPr>
          <w:b/>
          <w:sz w:val="21"/>
          <w:szCs w:val="28"/>
        </w:rPr>
        <w:fldChar w:fldCharType="end"/>
      </w:r>
      <w:bookmarkEnd w:id="14"/>
    </w:p>
    <w:p>
      <w:pPr>
        <w:pStyle w:val="203"/>
        <w:framePr w:wrap="around" w:y="14176"/>
      </w:pPr>
      <w:r>
        <w:rPr>
          <w:rFonts w:ascii="黑体"/>
        </w:rPr>
        <w:fldChar w:fldCharType="begin">
          <w:ffData>
            <w:name w:val="PLSH_DATE_Y"/>
            <w:enabled/>
            <w:calcOnExit w:val="0"/>
            <w:textInput>
              <w:default w:val="XXXX"/>
              <w:maxLength w:val="4"/>
            </w:textInput>
          </w:ffData>
        </w:fldChar>
      </w:r>
      <w:bookmarkStart w:id="15" w:name="PLSH_DATE_Y"/>
      <w:r>
        <w:rPr>
          <w:rFonts w:ascii="黑体"/>
        </w:rPr>
        <w:instrText xml:space="preserve"> FORMTEXT </w:instrText>
      </w:r>
      <w:r>
        <w:rPr>
          <w:rFonts w:ascii="黑体"/>
        </w:rPr>
        <w:fldChar w:fldCharType="separate"/>
      </w:r>
      <w:r>
        <w:rPr>
          <w:rFonts w:hint="eastAsia" w:ascii="黑体"/>
        </w:rPr>
        <w:t>2025</w:t>
      </w:r>
      <w:r>
        <w:rPr>
          <w:rFonts w:ascii="黑体"/>
        </w:rPr>
        <w:fldChar w:fldCharType="end"/>
      </w:r>
      <w:bookmarkEnd w:id="15"/>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6"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7"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发布</w:t>
      </w:r>
    </w:p>
    <w:p>
      <w:pPr>
        <w:pStyle w:val="204"/>
        <w:framePr w:wrap="around" w:y="14176"/>
      </w:pPr>
      <w:r>
        <w:rPr>
          <w:rFonts w:ascii="黑体"/>
        </w:rPr>
        <w:fldChar w:fldCharType="begin">
          <w:ffData>
            <w:name w:val="CROT_DATE_Y"/>
            <w:enabled/>
            <w:calcOnExit w:val="0"/>
            <w:textInput>
              <w:default w:val="XXXX"/>
              <w:maxLength w:val="4"/>
            </w:textInput>
          </w:ffData>
        </w:fldChar>
      </w:r>
      <w:bookmarkStart w:id="18" w:name="CROT_DATE_Y"/>
      <w:r>
        <w:rPr>
          <w:rFonts w:ascii="黑体"/>
        </w:rPr>
        <w:instrText xml:space="preserve"> FORMTEXT </w:instrText>
      </w:r>
      <w:r>
        <w:rPr>
          <w:rFonts w:ascii="黑体"/>
        </w:rPr>
        <w:fldChar w:fldCharType="separate"/>
      </w:r>
      <w:r>
        <w:rPr>
          <w:rFonts w:hint="eastAsia" w:ascii="黑体"/>
        </w:rPr>
        <w:t>2025</w:t>
      </w:r>
      <w:r>
        <w:rPr>
          <w:rFonts w:ascii="黑体"/>
        </w:rPr>
        <w:fldChar w:fldCharType="end"/>
      </w:r>
      <w:bookmarkEnd w:id="18"/>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9"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0"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hint="eastAsia"/>
        </w:rPr>
        <w:t>实施</w:t>
      </w:r>
    </w:p>
    <w:p>
      <w:pPr>
        <w:pStyle w:val="161"/>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1" w:name="fm"/>
      <w:r>
        <w:rPr>
          <w:rFonts w:hAnsi="黑体"/>
          <w:w w:val="100"/>
          <w:sz w:val="28"/>
        </w:rPr>
        <w:instrText xml:space="preserve"> FORMTEXT </w:instrText>
      </w:r>
      <w:r>
        <w:rPr>
          <w:rFonts w:hAnsi="黑体"/>
          <w:w w:val="100"/>
          <w:sz w:val="28"/>
        </w:rPr>
        <w:fldChar w:fldCharType="separate"/>
      </w:r>
      <w:r>
        <w:rPr>
          <w:rFonts w:hint="eastAsia" w:hAnsi="黑体"/>
          <w:w w:val="100"/>
          <w:sz w:val="28"/>
        </w:rPr>
        <w:t>汕头市标准化协会</w:t>
      </w:r>
      <w:r>
        <w:rPr>
          <w:rFonts w:hAnsi="黑体"/>
          <w:w w:val="100"/>
          <w:sz w:val="28"/>
        </w:rPr>
        <w:fldChar w:fldCharType="end"/>
      </w:r>
      <w:bookmarkEnd w:id="21"/>
      <w:r>
        <w:rPr>
          <w:rFonts w:ascii="Times New Roman"/>
          <w:w w:val="100"/>
          <w:sz w:val="28"/>
        </w:rPr>
        <w:t>  </w:t>
      </w:r>
      <w:r>
        <w:rPr>
          <w:rStyle w:val="239"/>
          <w:rFonts w:hint="eastAsia" w:hAnsi="黑体"/>
          <w:position w:val="0"/>
        </w:rPr>
        <w:t>发</w:t>
      </w:r>
      <w:r>
        <w:rPr>
          <w:rStyle w:val="239"/>
          <w:rFonts w:hint="eastAsia" w:hAnsi="黑体"/>
          <w:spacing w:val="0"/>
          <w:position w:val="0"/>
        </w:rPr>
        <w:t>布</w:t>
      </w:r>
    </w:p>
    <w:p>
      <w:pPr>
        <w:rPr>
          <w:rFonts w:hint="eastAsia"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9"/>
        <w:spacing w:before="560" w:after="360"/>
      </w:pPr>
      <w:bookmarkStart w:id="22" w:name="BookMark2"/>
      <w:r>
        <w:rPr>
          <w:rFonts w:hint="eastAsia"/>
          <w:spacing w:val="320"/>
        </w:rPr>
        <w:t>前</w:t>
      </w:r>
      <w:r>
        <w:rPr>
          <w:rFonts w:hint="eastAsia"/>
        </w:rPr>
        <w:t>言</w:t>
      </w:r>
    </w:p>
    <w:p>
      <w:pPr>
        <w:pStyle w:val="66"/>
        <w:ind w:firstLine="420"/>
      </w:pPr>
      <w:bookmarkStart w:id="23" w:name="_Hlk166767884"/>
      <w:r>
        <w:rPr>
          <w:rFonts w:hint="eastAsia"/>
        </w:rPr>
        <w:t>本文件按照</w:t>
      </w:r>
      <w:r>
        <w:t xml:space="preserve"> </w:t>
      </w:r>
      <w:r>
        <w:rPr>
          <w:rFonts w:hint="eastAsia"/>
        </w:rPr>
        <w:t>GB/T 1.1—2020《标准化工作导则  第</w:t>
      </w:r>
      <w:r>
        <w:t> </w:t>
      </w:r>
      <w:r>
        <w:rPr>
          <w:rFonts w:hint="eastAsia"/>
        </w:rPr>
        <w:t>1</w:t>
      </w:r>
      <w:r>
        <w:t> </w:t>
      </w:r>
      <w:r>
        <w:rPr>
          <w:rFonts w:hint="eastAsia"/>
        </w:rPr>
        <w:t>部分：标准化文件的结构和起草规则》的规定起草。</w:t>
      </w:r>
    </w:p>
    <w:p>
      <w:pPr>
        <w:pStyle w:val="66"/>
        <w:ind w:firstLine="420"/>
      </w:pPr>
      <w:r>
        <w:rPr>
          <w:rFonts w:hint="eastAsia"/>
        </w:rPr>
        <w:t>请注意本文件的某些内容可能涉及专利。本文件的发布机构不承担识别专利的责任。</w:t>
      </w:r>
    </w:p>
    <w:p>
      <w:pPr>
        <w:pStyle w:val="66"/>
        <w:ind w:firstLine="420"/>
      </w:pPr>
      <w:r>
        <w:rPr>
          <w:rFonts w:hint="eastAsia"/>
        </w:rPr>
        <w:t>本文件由广东省汕头市质量技术监督标准与编码所、汕头市标准化协会提出。</w:t>
      </w:r>
    </w:p>
    <w:p>
      <w:pPr>
        <w:pStyle w:val="66"/>
        <w:ind w:firstLine="420"/>
      </w:pPr>
      <w:r>
        <w:rPr>
          <w:rFonts w:hint="eastAsia"/>
        </w:rPr>
        <w:t>本文件由汕头市标准化协会归口。</w:t>
      </w:r>
    </w:p>
    <w:p>
      <w:pPr>
        <w:pStyle w:val="66"/>
        <w:ind w:firstLine="420"/>
        <w:rPr>
          <w:rFonts w:hint="eastAsia"/>
          <w:lang w:val="en-US" w:eastAsia="zh-CN"/>
        </w:rPr>
      </w:pPr>
      <w:r>
        <w:rPr>
          <w:rFonts w:hint="eastAsia"/>
        </w:rPr>
        <w:t>本文件起草单位：</w:t>
      </w:r>
      <w:r>
        <w:rPr>
          <w:rFonts w:hint="eastAsia"/>
          <w:lang w:val="en-US" w:eastAsia="zh-CN"/>
        </w:rPr>
        <w:t>XXXXXXXXXXXXXXXXXXX。</w:t>
      </w:r>
    </w:p>
    <w:p>
      <w:pPr>
        <w:pStyle w:val="66"/>
        <w:ind w:firstLine="420"/>
        <w:rPr>
          <w:rFonts w:hint="default" w:eastAsia="宋体"/>
          <w:lang w:val="en-US" w:eastAsia="zh-CN"/>
        </w:rPr>
      </w:pPr>
      <w:r>
        <w:rPr>
          <w:rFonts w:hint="eastAsia"/>
        </w:rPr>
        <w:t>本文件主要起草人：</w:t>
      </w:r>
      <w:bookmarkEnd w:id="23"/>
      <w:r>
        <w:rPr>
          <w:rFonts w:hint="eastAsia"/>
          <w:lang w:val="en-US" w:eastAsia="zh-CN"/>
        </w:rPr>
        <w:t>XXXXXXXXX。</w:t>
      </w:r>
      <w:bookmarkStart w:id="85" w:name="_GoBack"/>
      <w:bookmarkEnd w:id="85"/>
    </w:p>
    <w:p>
      <w:pPr>
        <w:pStyle w:val="66"/>
        <w:ind w:firstLine="420"/>
      </w:pPr>
    </w:p>
    <w:p>
      <w:pPr>
        <w:pStyle w:val="66"/>
        <w:ind w:firstLine="420"/>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p>
    <w:bookmarkEnd w:id="22"/>
    <w:p>
      <w:pPr>
        <w:spacing w:line="20" w:lineRule="exact"/>
        <w:jc w:val="center"/>
        <w:rPr>
          <w:rFonts w:hint="eastAsia" w:ascii="黑体" w:hAnsi="黑体" w:eastAsia="黑体"/>
          <w:sz w:val="32"/>
          <w:szCs w:val="32"/>
        </w:rPr>
      </w:pPr>
      <w:bookmarkStart w:id="24" w:name="BookMark4"/>
    </w:p>
    <w:p>
      <w:pPr>
        <w:spacing w:line="20" w:lineRule="exact"/>
        <w:jc w:val="center"/>
        <w:rPr>
          <w:rFonts w:hint="eastAsia" w:ascii="黑体" w:hAnsi="黑体" w:eastAsia="黑体"/>
          <w:sz w:val="32"/>
          <w:szCs w:val="32"/>
        </w:rPr>
      </w:pPr>
    </w:p>
    <w:sdt>
      <w:sdtPr>
        <w:tag w:val="NEW_STAND_NAME"/>
        <w:id w:val="595910757"/>
        <w:lock w:val="sdtLocked"/>
        <w:placeholder>
          <w:docPart w:val="9B3BEDB4F2724F9D81F4444A5CCE266D"/>
        </w:placeholder>
      </w:sdtPr>
      <w:sdtContent>
        <w:p>
          <w:pPr>
            <w:pStyle w:val="187"/>
            <w:spacing w:before="240" w:beforeLines="100" w:after="528" w:afterLines="220"/>
            <w:rPr>
              <w:rFonts w:hint="eastAsia"/>
            </w:rPr>
          </w:pPr>
          <w:bookmarkStart w:id="25" w:name="NEW_STAND_NAME"/>
          <w:r>
            <w:rPr>
              <w:rFonts w:hint="eastAsia"/>
            </w:rPr>
            <w:t>菜用黄麻质量分级</w:t>
          </w:r>
        </w:p>
      </w:sdtContent>
    </w:sdt>
    <w:bookmarkEnd w:id="25"/>
    <w:p>
      <w:pPr>
        <w:pStyle w:val="114"/>
        <w:spacing w:before="240" w:after="240"/>
      </w:pPr>
      <w:bookmarkStart w:id="26" w:name="_Toc97192964"/>
      <w:bookmarkStart w:id="27" w:name="_Toc26648465"/>
      <w:bookmarkStart w:id="28" w:name="_Toc26986771"/>
      <w:bookmarkStart w:id="29" w:name="_Toc17233333"/>
      <w:bookmarkStart w:id="30" w:name="_Toc26718930"/>
      <w:bookmarkStart w:id="31" w:name="_Toc24884218"/>
      <w:bookmarkStart w:id="32" w:name="_Toc24884211"/>
      <w:bookmarkStart w:id="33" w:name="_Toc17233325"/>
      <w:bookmarkStart w:id="34" w:name="_Toc26986530"/>
      <w:r>
        <w:rPr>
          <w:rFonts w:hint="eastAsia"/>
        </w:rPr>
        <w:t>范围</w:t>
      </w:r>
      <w:bookmarkEnd w:id="26"/>
      <w:bookmarkEnd w:id="27"/>
      <w:bookmarkEnd w:id="28"/>
      <w:bookmarkEnd w:id="29"/>
      <w:bookmarkEnd w:id="30"/>
      <w:bookmarkEnd w:id="31"/>
      <w:bookmarkEnd w:id="32"/>
      <w:bookmarkEnd w:id="33"/>
      <w:bookmarkEnd w:id="34"/>
    </w:p>
    <w:p>
      <w:pPr>
        <w:pStyle w:val="66"/>
        <w:ind w:firstLine="420"/>
      </w:pPr>
      <w:r>
        <w:rPr>
          <w:rFonts w:hint="eastAsia"/>
        </w:rPr>
        <w:t>本文件规定了菜用黄麻的基本要求、质量分级、试验方法、检验规则及包装、标识与贮放。</w:t>
      </w:r>
    </w:p>
    <w:p>
      <w:pPr>
        <w:pStyle w:val="66"/>
        <w:ind w:firstLine="420"/>
      </w:pPr>
      <w:r>
        <w:rPr>
          <w:rFonts w:hint="eastAsia"/>
        </w:rPr>
        <w:t>本文件适用于菜用黄麻经采收和分拣后的可食部分的质量分级。</w:t>
      </w:r>
    </w:p>
    <w:p>
      <w:pPr>
        <w:pStyle w:val="114"/>
        <w:spacing w:before="240" w:after="240"/>
      </w:pPr>
      <w:bookmarkStart w:id="35" w:name="_Toc26718931"/>
      <w:bookmarkStart w:id="36" w:name="_Toc26986772"/>
      <w:bookmarkStart w:id="37" w:name="_Toc26986531"/>
      <w:bookmarkStart w:id="38" w:name="_Toc26648466"/>
      <w:bookmarkStart w:id="39" w:name="_Toc97192965"/>
      <w:bookmarkStart w:id="40" w:name="_Toc17233334"/>
      <w:bookmarkStart w:id="41" w:name="_Toc24884219"/>
      <w:bookmarkStart w:id="42" w:name="_Toc17233326"/>
      <w:bookmarkStart w:id="43" w:name="_Toc24884212"/>
      <w:r>
        <w:rPr>
          <w:rFonts w:hint="eastAsia"/>
        </w:rPr>
        <w:t>规范性引用文件</w:t>
      </w:r>
      <w:bookmarkEnd w:id="35"/>
      <w:bookmarkEnd w:id="36"/>
      <w:bookmarkEnd w:id="37"/>
      <w:bookmarkEnd w:id="38"/>
      <w:bookmarkEnd w:id="39"/>
      <w:bookmarkEnd w:id="40"/>
      <w:bookmarkEnd w:id="41"/>
      <w:bookmarkEnd w:id="42"/>
      <w:bookmarkEnd w:id="43"/>
    </w:p>
    <w:sdt>
      <w:sdtPr>
        <w:rPr>
          <w:rFonts w:hint="eastAsia"/>
        </w:rPr>
        <w:id w:val="715848253"/>
        <w:placeholder>
          <w:docPart w:val="78956B8278AF41489B4C226600D2E8C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6"/>
        <w:ind w:firstLine="420"/>
      </w:pPr>
      <w:r>
        <w:rPr>
          <w:rFonts w:hint="eastAsia"/>
        </w:rPr>
        <w:t>NT/T 1655  蔬菜包装标识通用准则</w:t>
      </w:r>
    </w:p>
    <w:p>
      <w:pPr>
        <w:pStyle w:val="66"/>
        <w:ind w:firstLine="420"/>
      </w:pPr>
      <w:r>
        <w:rPr>
          <w:rFonts w:hint="eastAsia"/>
        </w:rPr>
        <w:t>NY/T 2103  蔬菜抽样技术规范</w:t>
      </w:r>
    </w:p>
    <w:p>
      <w:pPr>
        <w:pStyle w:val="66"/>
        <w:ind w:firstLine="420"/>
      </w:pPr>
      <w:r>
        <w:rPr>
          <w:rFonts w:hint="eastAsia"/>
        </w:rPr>
        <w:t>T/STBZ 10—2022  菜用黄麻栽培技术规程</w:t>
      </w:r>
    </w:p>
    <w:p>
      <w:pPr>
        <w:pStyle w:val="114"/>
        <w:spacing w:before="240" w:after="240"/>
      </w:pPr>
      <w:bookmarkStart w:id="44" w:name="_Toc97192966"/>
      <w:r>
        <w:rPr>
          <w:rFonts w:hint="eastAsia"/>
          <w:szCs w:val="21"/>
        </w:rPr>
        <w:t>术语和定义</w:t>
      </w:r>
      <w:bookmarkEnd w:id="44"/>
    </w:p>
    <w:p>
      <w:pPr>
        <w:pStyle w:val="66"/>
        <w:ind w:firstLine="420"/>
      </w:pPr>
      <w:bookmarkStart w:id="45" w:name="_Toc26986532"/>
      <w:bookmarkEnd w:id="45"/>
      <w:bookmarkStart w:id="46" w:name="_Hlk202454882"/>
      <w:sdt>
        <w:sdtPr>
          <w:id w:val="-1909835108"/>
          <w:placeholder>
            <w:docPart w:val="DD487E154D8B46B1811108614A11313A"/>
          </w:placeholder>
          <w:comboBox>
            <w:listItem w:displayText="点击并选择适当的引导语" w:value="点击并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bookmarkEnd w:id="46"/>
          <w:r>
            <w:t>T/STBZ 10—2022界定的术语和定义适用于本文件。</w:t>
          </w:r>
        </w:sdtContent>
      </w:sdt>
    </w:p>
    <w:p>
      <w:pPr>
        <w:pStyle w:val="114"/>
        <w:spacing w:before="240" w:after="240"/>
      </w:pPr>
      <w:r>
        <w:rPr>
          <w:rFonts w:hint="eastAsia"/>
        </w:rPr>
        <w:t>基本要求</w:t>
      </w:r>
    </w:p>
    <w:p>
      <w:pPr>
        <w:pStyle w:val="66"/>
        <w:ind w:firstLine="420"/>
        <w:rPr>
          <w:szCs w:val="21"/>
        </w:rPr>
      </w:pPr>
      <w:r>
        <w:rPr>
          <w:rFonts w:hint="eastAsia"/>
          <w:szCs w:val="21"/>
        </w:rPr>
        <w:t>采收和分拣后的菜用黄麻应符合下列基本要求：</w:t>
      </w:r>
    </w:p>
    <w:p>
      <w:pPr>
        <w:pStyle w:val="184"/>
        <w:rPr>
          <w:szCs w:val="21"/>
        </w:rPr>
      </w:pPr>
      <w:r>
        <w:rPr>
          <w:rFonts w:hint="eastAsia"/>
          <w:szCs w:val="21"/>
        </w:rPr>
        <w:t>具有品种应有的形态、色泽和气味；</w:t>
      </w:r>
    </w:p>
    <w:p>
      <w:pPr>
        <w:pStyle w:val="184"/>
        <w:rPr>
          <w:szCs w:val="21"/>
        </w:rPr>
      </w:pPr>
      <w:r>
        <w:rPr>
          <w:rFonts w:hint="eastAsia"/>
          <w:szCs w:val="21"/>
        </w:rPr>
        <w:t>无腐烂、</w:t>
      </w:r>
      <w:bookmarkStart w:id="47" w:name="OLE_LINK33"/>
      <w:r>
        <w:rPr>
          <w:rFonts w:hint="eastAsia"/>
          <w:szCs w:val="21"/>
        </w:rPr>
        <w:t>发霉</w:t>
      </w:r>
      <w:bookmarkEnd w:id="47"/>
      <w:r>
        <w:rPr>
          <w:rFonts w:hint="eastAsia"/>
          <w:szCs w:val="21"/>
        </w:rPr>
        <w:t>及异味；</w:t>
      </w:r>
    </w:p>
    <w:p>
      <w:pPr>
        <w:pStyle w:val="184"/>
        <w:rPr>
          <w:szCs w:val="21"/>
        </w:rPr>
      </w:pPr>
      <w:r>
        <w:rPr>
          <w:rFonts w:hint="eastAsia"/>
          <w:szCs w:val="21"/>
        </w:rPr>
        <w:t>无严重的</w:t>
      </w:r>
      <w:bookmarkStart w:id="48" w:name="OLE_LINK24"/>
      <w:r>
        <w:rPr>
          <w:rFonts w:hint="eastAsia"/>
          <w:szCs w:val="21"/>
        </w:rPr>
        <w:t>冻伤，无严重的机械损伤</w:t>
      </w:r>
      <w:bookmarkEnd w:id="48"/>
      <w:r>
        <w:rPr>
          <w:rFonts w:hint="eastAsia"/>
          <w:szCs w:val="21"/>
        </w:rPr>
        <w:t>；</w:t>
      </w:r>
    </w:p>
    <w:p>
      <w:pPr>
        <w:pStyle w:val="184"/>
        <w:rPr>
          <w:szCs w:val="21"/>
        </w:rPr>
      </w:pPr>
      <w:r>
        <w:rPr>
          <w:rFonts w:hint="eastAsia"/>
          <w:szCs w:val="21"/>
        </w:rPr>
        <w:t>无抽薹，无开花结蒴，成熟度符合食用或加工要求。</w:t>
      </w:r>
    </w:p>
    <w:p>
      <w:pPr>
        <w:pStyle w:val="114"/>
        <w:spacing w:before="240" w:after="240"/>
      </w:pPr>
      <w:r>
        <w:rPr>
          <w:rFonts w:hint="eastAsia"/>
        </w:rPr>
        <w:t>质量分级</w:t>
      </w:r>
    </w:p>
    <w:p>
      <w:pPr>
        <w:pStyle w:val="66"/>
        <w:ind w:firstLine="420"/>
        <w:rPr>
          <w:rFonts w:hint="eastAsia" w:ascii="宋体" w:hAnsi="宋体"/>
        </w:rPr>
      </w:pPr>
      <w:r>
        <w:rPr>
          <w:rFonts w:hint="eastAsia" w:ascii="宋体" w:hAnsi="宋体"/>
        </w:rPr>
        <w:t>菜用黄麻按其品质分为特级、一级和二级等三个等级。在符合基本要求的前提下，各等级分级指标应符合表</w:t>
      </w:r>
      <w:r>
        <w:rPr>
          <w:rFonts w:ascii="宋体" w:hAnsi="宋体"/>
        </w:rPr>
        <w:t> </w:t>
      </w:r>
      <w:r>
        <w:t>1 </w:t>
      </w:r>
      <w:r>
        <w:rPr>
          <w:rFonts w:hint="eastAsia" w:ascii="宋体" w:hAnsi="宋体"/>
        </w:rPr>
        <w:t>的规定。</w:t>
      </w:r>
    </w:p>
    <w:p>
      <w:pPr>
        <w:pStyle w:val="122"/>
        <w:spacing w:before="120" w:after="120"/>
      </w:pPr>
      <w:r>
        <w:rPr>
          <w:rFonts w:hint="eastAsia"/>
        </w:rPr>
        <w:t>菜用黄麻分级要求</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1134"/>
        <w:gridCol w:w="2315"/>
        <w:gridCol w:w="90"/>
        <w:gridCol w:w="2361"/>
        <w:gridCol w:w="44"/>
        <w:gridCol w:w="24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117" w:type="dxa"/>
            <w:gridSpan w:val="2"/>
            <w:vMerge w:val="restart"/>
            <w:tcBorders>
              <w:top w:val="single" w:color="auto" w:sz="8" w:space="0"/>
            </w:tcBorders>
            <w:vAlign w:val="center"/>
          </w:tcPr>
          <w:p>
            <w:pPr>
              <w:widowControl/>
              <w:autoSpaceDE w:val="0"/>
              <w:autoSpaceDN w:val="0"/>
              <w:adjustRightInd/>
              <w:spacing w:line="240" w:lineRule="auto"/>
              <w:jc w:val="center"/>
              <w:rPr>
                <w:rFonts w:ascii="宋体" w:hAnsi="Times New Roman"/>
                <w:kern w:val="0"/>
                <w:sz w:val="18"/>
                <w:szCs w:val="20"/>
              </w:rPr>
            </w:pPr>
            <w:bookmarkStart w:id="49" w:name="_Hlk195110494"/>
            <w:r>
              <w:rPr>
                <w:rFonts w:hint="eastAsia" w:ascii="宋体" w:hAnsi="Times New Roman"/>
                <w:kern w:val="0"/>
                <w:sz w:val="18"/>
                <w:szCs w:val="20"/>
              </w:rPr>
              <w:t>项目</w:t>
            </w:r>
          </w:p>
        </w:tc>
        <w:tc>
          <w:tcPr>
            <w:tcW w:w="7217" w:type="dxa"/>
            <w:gridSpan w:val="5"/>
            <w:tcBorders>
              <w:top w:val="single" w:color="auto" w:sz="8" w:space="0"/>
              <w:bottom w:val="single" w:color="auto" w:sz="8" w:space="0"/>
            </w:tcBorders>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17" w:type="dxa"/>
            <w:gridSpan w:val="2"/>
            <w:vMerge w:val="continue"/>
            <w:vAlign w:val="center"/>
          </w:tcPr>
          <w:p>
            <w:pPr>
              <w:widowControl/>
              <w:autoSpaceDE w:val="0"/>
              <w:autoSpaceDN w:val="0"/>
              <w:adjustRightInd/>
              <w:spacing w:line="240" w:lineRule="auto"/>
              <w:jc w:val="center"/>
              <w:rPr>
                <w:rFonts w:ascii="宋体" w:hAnsi="Times New Roman"/>
                <w:kern w:val="0"/>
                <w:sz w:val="18"/>
                <w:szCs w:val="20"/>
              </w:rPr>
            </w:pPr>
          </w:p>
        </w:tc>
        <w:tc>
          <w:tcPr>
            <w:tcW w:w="2315" w:type="dxa"/>
            <w:tcBorders>
              <w:top w:val="single" w:color="auto" w:sz="8" w:space="0"/>
            </w:tcBorders>
            <w:vAlign w:val="center"/>
          </w:tcPr>
          <w:p>
            <w:pPr>
              <w:pStyle w:val="189"/>
              <w:numPr>
                <w:ilvl w:val="0"/>
                <w:numId w:val="0"/>
              </w:numPr>
              <w:jc w:val="center"/>
            </w:pPr>
            <w:r>
              <w:rPr>
                <w:rFonts w:hint="eastAsia"/>
              </w:rPr>
              <w:t>特级</w:t>
            </w:r>
          </w:p>
        </w:tc>
        <w:tc>
          <w:tcPr>
            <w:tcW w:w="2451" w:type="dxa"/>
            <w:gridSpan w:val="2"/>
            <w:tcBorders>
              <w:top w:val="single" w:color="auto" w:sz="8" w:space="0"/>
            </w:tcBorders>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一级</w:t>
            </w:r>
          </w:p>
        </w:tc>
        <w:tc>
          <w:tcPr>
            <w:tcW w:w="2451" w:type="dxa"/>
            <w:gridSpan w:val="2"/>
            <w:tcBorders>
              <w:top w:val="single" w:color="auto" w:sz="8" w:space="0"/>
            </w:tcBorders>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二级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983" w:type="dxa"/>
            <w:vMerge w:val="restart"/>
            <w:vAlign w:val="center"/>
          </w:tcPr>
          <w:p>
            <w:pPr>
              <w:widowControl/>
              <w:autoSpaceDE w:val="0"/>
              <w:autoSpaceDN w:val="0"/>
              <w:adjustRightInd/>
              <w:spacing w:line="240" w:lineRule="auto"/>
              <w:jc w:val="center"/>
              <w:rPr>
                <w:rFonts w:ascii="宋体" w:hAnsi="Times New Roman"/>
                <w:kern w:val="0"/>
                <w:sz w:val="18"/>
                <w:szCs w:val="20"/>
              </w:rPr>
            </w:pPr>
            <w:bookmarkStart w:id="50" w:name="OLE_LINK16" w:colFirst="2" w:colLast="2"/>
            <w:r>
              <w:rPr>
                <w:rFonts w:hint="eastAsia" w:ascii="宋体" w:hAnsi="Times New Roman"/>
                <w:kern w:val="0"/>
                <w:sz w:val="18"/>
                <w:szCs w:val="20"/>
              </w:rPr>
              <w:t>感官指标</w:t>
            </w:r>
          </w:p>
        </w:tc>
        <w:tc>
          <w:tcPr>
            <w:tcW w:w="1134" w:type="dxa"/>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新鲜度</w:t>
            </w:r>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bookmarkStart w:id="51" w:name="OLE_LINK15"/>
            <w:bookmarkStart w:id="52" w:name="OLE_LINK17"/>
            <w:bookmarkStart w:id="53" w:name="OLE_LINK18"/>
            <w:r>
              <w:rPr>
                <w:rFonts w:ascii="Segoe UI" w:hAnsi="Segoe UI" w:eastAsia="Segoe UI" w:cs="Segoe UI"/>
                <w:sz w:val="18"/>
                <w:szCs w:val="18"/>
                <w:shd w:val="clear" w:color="auto" w:fill="FFFFFF"/>
              </w:rPr>
              <w:t>叶片</w:t>
            </w:r>
            <w:r>
              <w:rPr>
                <w:rFonts w:hint="eastAsia" w:ascii="Segoe UI" w:hAnsi="Segoe UI" w:cs="Segoe UI"/>
                <w:sz w:val="18"/>
                <w:szCs w:val="18"/>
                <w:shd w:val="clear" w:color="auto" w:fill="FFFFFF"/>
              </w:rPr>
              <w:t>表面有光泽</w:t>
            </w:r>
            <w:bookmarkEnd w:id="51"/>
            <w:bookmarkEnd w:id="52"/>
            <w:bookmarkEnd w:id="53"/>
            <w:r>
              <w:rPr>
                <w:rFonts w:hint="eastAsia" w:ascii="Segoe UI" w:hAnsi="Segoe UI" w:cs="Segoe UI"/>
                <w:sz w:val="18"/>
                <w:szCs w:val="18"/>
                <w:shd w:val="clear" w:color="auto" w:fill="FFFFFF"/>
                <w:lang w:eastAsia="zh-CN"/>
              </w:rPr>
              <w:t>，</w:t>
            </w:r>
            <w:r>
              <w:rPr>
                <w:rFonts w:hint="eastAsia" w:ascii="Segoe UI" w:hAnsi="Segoe UI" w:cs="Segoe UI"/>
                <w:sz w:val="18"/>
                <w:szCs w:val="18"/>
                <w:shd w:val="clear" w:color="auto" w:fill="FFFFFF"/>
              </w:rPr>
              <w:t>叶身挺直</w:t>
            </w:r>
            <w:r>
              <w:rPr>
                <w:rFonts w:hint="eastAsia" w:ascii="Segoe UI" w:hAnsi="Segoe UI" w:cs="Segoe UI"/>
                <w:sz w:val="18"/>
                <w:szCs w:val="18"/>
                <w:shd w:val="clear" w:color="auto" w:fill="FFFFFF"/>
                <w:lang w:eastAsia="zh-CN"/>
              </w:rPr>
              <w:t>、</w:t>
            </w:r>
            <w:r>
              <w:rPr>
                <w:rFonts w:hint="eastAsia" w:ascii="Segoe UI" w:hAnsi="Segoe UI" w:cs="Segoe UI"/>
                <w:sz w:val="18"/>
                <w:szCs w:val="18"/>
                <w:shd w:val="clear" w:color="auto" w:fill="FFFFFF"/>
              </w:rPr>
              <w:t>不脱水</w:t>
            </w:r>
            <w:r>
              <w:rPr>
                <w:rFonts w:hint="eastAsia" w:ascii="Segoe UI" w:hAnsi="Segoe UI" w:cs="Segoe UI"/>
                <w:sz w:val="18"/>
                <w:szCs w:val="18"/>
                <w:shd w:val="clear" w:color="auto" w:fill="FFFFFF"/>
                <w:lang w:eastAsia="zh-CN"/>
              </w:rPr>
              <w:t>、</w:t>
            </w:r>
            <w:r>
              <w:rPr>
                <w:rFonts w:hint="eastAsia" w:ascii="Segoe UI" w:hAnsi="Segoe UI" w:cs="Segoe UI"/>
                <w:sz w:val="18"/>
                <w:szCs w:val="18"/>
                <w:shd w:val="clear" w:color="auto" w:fill="FFFFFF"/>
              </w:rPr>
              <w:t>无皱缩</w:t>
            </w:r>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bookmarkStart w:id="54" w:name="OLE_LINK19"/>
            <w:r>
              <w:rPr>
                <w:rFonts w:hint="eastAsia" w:ascii="宋体" w:hAnsi="Times New Roman"/>
                <w:kern w:val="0"/>
                <w:sz w:val="18"/>
                <w:szCs w:val="20"/>
              </w:rPr>
              <w:t>叶片表面有光泽</w:t>
            </w:r>
            <w:r>
              <w:rPr>
                <w:rFonts w:hint="eastAsia" w:ascii="宋体" w:hAnsi="Times New Roman"/>
                <w:kern w:val="0"/>
                <w:sz w:val="18"/>
                <w:szCs w:val="20"/>
                <w:lang w:eastAsia="zh-CN"/>
              </w:rPr>
              <w:t>，</w:t>
            </w:r>
            <w:r>
              <w:rPr>
                <w:rFonts w:hint="eastAsia" w:ascii="宋体" w:hAnsi="Times New Roman"/>
                <w:kern w:val="0"/>
                <w:sz w:val="18"/>
                <w:szCs w:val="20"/>
              </w:rPr>
              <w:t>叶身挺直，允许</w:t>
            </w:r>
            <w:bookmarkStart w:id="55" w:name="OLE_LINK20"/>
            <w:r>
              <w:rPr>
                <w:rFonts w:hint="eastAsia" w:ascii="宋体" w:hAnsi="Times New Roman"/>
                <w:kern w:val="0"/>
                <w:sz w:val="18"/>
                <w:szCs w:val="20"/>
              </w:rPr>
              <w:t>极少量</w:t>
            </w:r>
            <w:bookmarkEnd w:id="55"/>
            <w:r>
              <w:rPr>
                <w:rFonts w:hint="eastAsia" w:ascii="宋体" w:hAnsi="Times New Roman"/>
                <w:kern w:val="0"/>
                <w:sz w:val="18"/>
                <w:szCs w:val="20"/>
              </w:rPr>
              <w:t>叶片有轻度脱水、皱缩现象</w:t>
            </w:r>
            <w:bookmarkEnd w:id="54"/>
          </w:p>
        </w:tc>
        <w:tc>
          <w:tcPr>
            <w:tcW w:w="2407" w:type="dxa"/>
            <w:vAlign w:val="center"/>
          </w:tcPr>
          <w:p>
            <w:pPr>
              <w:widowControl/>
              <w:autoSpaceDE w:val="0"/>
              <w:autoSpaceDN w:val="0"/>
              <w:adjustRightInd/>
              <w:spacing w:line="240" w:lineRule="auto"/>
              <w:jc w:val="left"/>
              <w:rPr>
                <w:rFonts w:ascii="宋体" w:hAnsi="Times New Roman"/>
                <w:kern w:val="0"/>
                <w:sz w:val="18"/>
                <w:szCs w:val="20"/>
              </w:rPr>
            </w:pPr>
            <w:r>
              <w:rPr>
                <w:rFonts w:hint="eastAsia" w:ascii="宋体" w:hAnsi="Times New Roman"/>
                <w:kern w:val="0"/>
                <w:sz w:val="18"/>
                <w:szCs w:val="20"/>
              </w:rPr>
              <w:t>叶片表面略发暗</w:t>
            </w:r>
            <w:r>
              <w:rPr>
                <w:rFonts w:hint="eastAsia" w:ascii="宋体" w:hAnsi="Times New Roman"/>
                <w:kern w:val="0"/>
                <w:sz w:val="18"/>
                <w:szCs w:val="20"/>
                <w:lang w:eastAsia="zh-CN"/>
              </w:rPr>
              <w:t>，</w:t>
            </w:r>
            <w:r>
              <w:rPr>
                <w:rFonts w:hint="eastAsia" w:ascii="宋体" w:hAnsi="Times New Roman"/>
                <w:kern w:val="0"/>
                <w:sz w:val="18"/>
                <w:szCs w:val="20"/>
                <w:lang w:val="en-US" w:eastAsia="zh-CN"/>
              </w:rPr>
              <w:t>允许叶身</w:t>
            </w:r>
            <w:r>
              <w:rPr>
                <w:rFonts w:hint="eastAsia" w:ascii="宋体" w:hAnsi="Times New Roman"/>
                <w:kern w:val="0"/>
                <w:sz w:val="18"/>
                <w:szCs w:val="20"/>
              </w:rPr>
              <w:t>有轻度脱水、皱缩现象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pPr>
              <w:widowControl/>
              <w:autoSpaceDE w:val="0"/>
              <w:autoSpaceDN w:val="0"/>
              <w:adjustRightInd/>
              <w:spacing w:line="240" w:lineRule="auto"/>
              <w:jc w:val="center"/>
              <w:rPr>
                <w:rFonts w:ascii="宋体" w:hAnsi="Times New Roman"/>
                <w:kern w:val="0"/>
                <w:sz w:val="18"/>
                <w:szCs w:val="20"/>
              </w:rPr>
            </w:pPr>
          </w:p>
        </w:tc>
        <w:tc>
          <w:tcPr>
            <w:tcW w:w="1134" w:type="dxa"/>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病虫害</w:t>
            </w:r>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r>
              <w:rPr>
                <w:rFonts w:hint="eastAsia" w:ascii="宋体" w:hAnsi="Times New Roman"/>
                <w:kern w:val="0"/>
                <w:sz w:val="18"/>
                <w:szCs w:val="20"/>
              </w:rPr>
              <w:t>无病虫害致伤现象</w:t>
            </w:r>
          </w:p>
        </w:tc>
        <w:tc>
          <w:tcPr>
            <w:tcW w:w="2405" w:type="dxa"/>
            <w:gridSpan w:val="2"/>
            <w:vAlign w:val="center"/>
          </w:tcPr>
          <w:p>
            <w:pPr>
              <w:widowControl/>
              <w:autoSpaceDE w:val="0"/>
              <w:autoSpaceDN w:val="0"/>
              <w:adjustRightInd/>
              <w:spacing w:line="240" w:lineRule="auto"/>
              <w:rPr>
                <w:rFonts w:ascii="宋体" w:hAnsi="Times New Roman"/>
                <w:kern w:val="0"/>
                <w:sz w:val="18"/>
                <w:szCs w:val="20"/>
              </w:rPr>
            </w:pPr>
            <w:r>
              <w:rPr>
                <w:rFonts w:hint="eastAsia" w:ascii="宋体" w:hAnsi="Times New Roman"/>
                <w:kern w:val="0"/>
                <w:sz w:val="18"/>
                <w:szCs w:val="20"/>
              </w:rPr>
              <w:t>允许</w:t>
            </w:r>
            <w:r>
              <w:rPr>
                <w:rFonts w:ascii="宋体" w:hAnsi="Times New Roman"/>
                <w:kern w:val="0"/>
                <w:sz w:val="18"/>
                <w:szCs w:val="20"/>
              </w:rPr>
              <w:t> </w:t>
            </w:r>
            <w:r>
              <w:rPr>
                <w:rFonts w:hint="eastAsia" w:ascii="Times New Roman" w:hAnsi="Times New Roman"/>
                <w:kern w:val="0"/>
                <w:sz w:val="18"/>
                <w:szCs w:val="20"/>
              </w:rPr>
              <w:t>1</w:t>
            </w:r>
            <w:r>
              <w:rPr>
                <w:rFonts w:ascii="Times New Roman" w:hAnsi="Times New Roman"/>
                <w:kern w:val="0"/>
                <w:sz w:val="18"/>
                <w:szCs w:val="20"/>
              </w:rPr>
              <w:t> </w:t>
            </w:r>
            <w:r>
              <w:rPr>
                <w:rFonts w:hint="eastAsia" w:ascii="宋体" w:hAnsi="Times New Roman"/>
                <w:kern w:val="0"/>
                <w:sz w:val="18"/>
                <w:szCs w:val="20"/>
              </w:rPr>
              <w:t>～</w:t>
            </w:r>
            <w:r>
              <w:rPr>
                <w:rFonts w:ascii="Times New Roman" w:hAnsi="Times New Roman"/>
                <w:kern w:val="0"/>
                <w:sz w:val="18"/>
                <w:szCs w:val="20"/>
              </w:rPr>
              <w:t> </w:t>
            </w:r>
            <w:r>
              <w:rPr>
                <w:rFonts w:hint="eastAsia" w:ascii="Times New Roman" w:hAnsi="Times New Roman"/>
                <w:kern w:val="0"/>
                <w:sz w:val="18"/>
                <w:szCs w:val="20"/>
              </w:rPr>
              <w:t>2</w:t>
            </w:r>
            <w:r>
              <w:rPr>
                <w:rFonts w:ascii="Times New Roman" w:hAnsi="Times New Roman"/>
                <w:kern w:val="0"/>
                <w:sz w:val="18"/>
                <w:szCs w:val="20"/>
              </w:rPr>
              <w:t> </w:t>
            </w:r>
            <w:r>
              <w:rPr>
                <w:rFonts w:hint="eastAsia" w:ascii="Times New Roman" w:hAnsi="Times New Roman"/>
                <w:kern w:val="0"/>
                <w:sz w:val="18"/>
                <w:szCs w:val="20"/>
              </w:rPr>
              <w:t>片</w:t>
            </w:r>
            <w:r>
              <w:rPr>
                <w:rFonts w:hint="eastAsia" w:ascii="宋体" w:hAnsi="Times New Roman"/>
                <w:kern w:val="0"/>
                <w:sz w:val="18"/>
                <w:szCs w:val="20"/>
              </w:rPr>
              <w:t>叶有轻微虫咬伤、病斑或黄叶</w:t>
            </w:r>
          </w:p>
        </w:tc>
        <w:tc>
          <w:tcPr>
            <w:tcW w:w="2407" w:type="dxa"/>
            <w:vAlign w:val="center"/>
          </w:tcPr>
          <w:p>
            <w:pPr>
              <w:widowControl/>
              <w:autoSpaceDE w:val="0"/>
              <w:autoSpaceDN w:val="0"/>
              <w:adjustRightInd/>
              <w:spacing w:line="240" w:lineRule="auto"/>
              <w:rPr>
                <w:rFonts w:ascii="宋体" w:hAnsi="Times New Roman"/>
                <w:kern w:val="0"/>
                <w:sz w:val="18"/>
                <w:szCs w:val="20"/>
              </w:rPr>
            </w:pPr>
            <w:r>
              <w:rPr>
                <w:rFonts w:hint="eastAsia" w:ascii="宋体" w:hAnsi="Times New Roman"/>
                <w:kern w:val="0"/>
                <w:sz w:val="18"/>
                <w:szCs w:val="20"/>
              </w:rPr>
              <w:t>允许</w:t>
            </w:r>
            <w:r>
              <w:rPr>
                <w:rFonts w:ascii="Times New Roman" w:hAnsi="Times New Roman"/>
                <w:kern w:val="0"/>
                <w:sz w:val="18"/>
                <w:szCs w:val="20"/>
              </w:rPr>
              <w:t> </w:t>
            </w:r>
            <w:bookmarkStart w:id="56" w:name="OLE_LINK38"/>
            <w:r>
              <w:rPr>
                <w:rFonts w:hint="eastAsia" w:ascii="宋体" w:hAnsi="Times New Roman"/>
                <w:kern w:val="0"/>
                <w:sz w:val="18"/>
                <w:szCs w:val="20"/>
              </w:rPr>
              <w:t>2</w:t>
            </w:r>
            <w:r>
              <w:rPr>
                <w:rFonts w:ascii="宋体" w:hAnsi="Times New Roman"/>
                <w:kern w:val="0"/>
                <w:sz w:val="18"/>
                <w:szCs w:val="20"/>
              </w:rPr>
              <w:t> </w:t>
            </w:r>
            <w:r>
              <w:rPr>
                <w:rFonts w:hint="eastAsia" w:ascii="宋体" w:hAnsi="Times New Roman"/>
                <w:kern w:val="0"/>
                <w:sz w:val="18"/>
                <w:szCs w:val="20"/>
              </w:rPr>
              <w:t>～</w:t>
            </w:r>
            <w:r>
              <w:rPr>
                <w:rFonts w:ascii="宋体" w:hAnsi="Times New Roman"/>
                <w:kern w:val="0"/>
                <w:sz w:val="18"/>
                <w:szCs w:val="20"/>
              </w:rPr>
              <w:t> </w:t>
            </w:r>
            <w:r>
              <w:rPr>
                <w:rFonts w:hint="eastAsia" w:ascii="宋体" w:hAnsi="Times New Roman"/>
                <w:kern w:val="0"/>
                <w:sz w:val="18"/>
                <w:szCs w:val="20"/>
              </w:rPr>
              <w:t>3</w:t>
            </w:r>
            <w:r>
              <w:rPr>
                <w:rFonts w:ascii="Times New Roman" w:hAnsi="Times New Roman"/>
                <w:kern w:val="0"/>
                <w:sz w:val="18"/>
                <w:szCs w:val="20"/>
              </w:rPr>
              <w:t> </w:t>
            </w:r>
            <w:r>
              <w:rPr>
                <w:rFonts w:hint="eastAsia" w:ascii="Times New Roman" w:hAnsi="Times New Roman"/>
                <w:kern w:val="0"/>
                <w:sz w:val="18"/>
                <w:szCs w:val="20"/>
              </w:rPr>
              <w:t>片</w:t>
            </w:r>
            <w:r>
              <w:rPr>
                <w:rFonts w:hint="eastAsia" w:ascii="宋体" w:hAnsi="Times New Roman"/>
                <w:kern w:val="0"/>
                <w:sz w:val="18"/>
                <w:szCs w:val="20"/>
              </w:rPr>
              <w:t>叶</w:t>
            </w:r>
            <w:bookmarkEnd w:id="56"/>
            <w:r>
              <w:rPr>
                <w:rFonts w:hint="eastAsia" w:ascii="宋体" w:hAnsi="Times New Roman"/>
                <w:kern w:val="0"/>
                <w:sz w:val="18"/>
                <w:szCs w:val="20"/>
              </w:rPr>
              <w:t>有轻度虫咬伤、病斑或黄叶</w:t>
            </w:r>
          </w:p>
        </w:tc>
      </w:tr>
      <w:bookmarkEnd w:id="50"/>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pPr>
              <w:widowControl/>
              <w:autoSpaceDE w:val="0"/>
              <w:autoSpaceDN w:val="0"/>
              <w:adjustRightInd/>
              <w:spacing w:line="240" w:lineRule="auto"/>
              <w:jc w:val="center"/>
              <w:rPr>
                <w:rFonts w:ascii="宋体" w:hAnsi="Times New Roman"/>
                <w:kern w:val="0"/>
                <w:sz w:val="18"/>
                <w:szCs w:val="20"/>
              </w:rPr>
            </w:pPr>
          </w:p>
        </w:tc>
        <w:tc>
          <w:tcPr>
            <w:tcW w:w="1134" w:type="dxa"/>
            <w:vAlign w:val="center"/>
          </w:tcPr>
          <w:p>
            <w:pPr>
              <w:widowControl/>
              <w:autoSpaceDE w:val="0"/>
              <w:autoSpaceDN w:val="0"/>
              <w:adjustRightInd/>
              <w:spacing w:line="240" w:lineRule="auto"/>
              <w:jc w:val="center"/>
              <w:rPr>
                <w:rFonts w:ascii="宋体" w:hAnsi="Times New Roman"/>
                <w:kern w:val="0"/>
                <w:sz w:val="18"/>
                <w:szCs w:val="20"/>
              </w:rPr>
            </w:pPr>
            <w:r>
              <w:rPr>
                <w:rFonts w:ascii="宋体" w:hAnsi="Times New Roman"/>
                <w:kern w:val="0"/>
                <w:sz w:val="18"/>
                <w:szCs w:val="20"/>
              </w:rPr>
              <w:t>外形</w:t>
            </w:r>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r>
              <w:rPr>
                <w:rFonts w:hint="eastAsia" w:ascii="宋体" w:hAnsi="Times New Roman"/>
                <w:kern w:val="0"/>
                <w:sz w:val="18"/>
                <w:szCs w:val="20"/>
              </w:rPr>
              <w:t>叶茎完整，无缺损、畸形、冻伤、机械伤等现象</w:t>
            </w:r>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r>
              <w:rPr>
                <w:rFonts w:hint="eastAsia" w:ascii="宋体" w:hAnsi="Times New Roman"/>
                <w:kern w:val="0"/>
                <w:sz w:val="18"/>
                <w:szCs w:val="20"/>
              </w:rPr>
              <w:t>无冻伤，允许</w:t>
            </w:r>
            <w:r>
              <w:rPr>
                <w:rFonts w:ascii="宋体" w:hAnsi="Times New Roman"/>
                <w:kern w:val="0"/>
                <w:sz w:val="18"/>
                <w:szCs w:val="20"/>
              </w:rPr>
              <w:t> </w:t>
            </w:r>
            <w:r>
              <w:rPr>
                <w:rFonts w:hint="eastAsia" w:ascii="Times New Roman" w:hAnsi="Times New Roman"/>
                <w:kern w:val="0"/>
                <w:sz w:val="18"/>
                <w:szCs w:val="20"/>
              </w:rPr>
              <w:t>1</w:t>
            </w:r>
            <w:r>
              <w:rPr>
                <w:rFonts w:ascii="Times New Roman" w:hAnsi="Times New Roman"/>
                <w:kern w:val="0"/>
                <w:sz w:val="18"/>
                <w:szCs w:val="20"/>
              </w:rPr>
              <w:t> </w:t>
            </w:r>
            <w:r>
              <w:rPr>
                <w:rFonts w:hint="eastAsia" w:ascii="宋体" w:hAnsi="Times New Roman"/>
                <w:kern w:val="0"/>
                <w:sz w:val="18"/>
                <w:szCs w:val="20"/>
              </w:rPr>
              <w:t>～</w:t>
            </w:r>
            <w:r>
              <w:rPr>
                <w:rFonts w:ascii="Times New Roman" w:hAnsi="Times New Roman"/>
                <w:kern w:val="0"/>
                <w:sz w:val="18"/>
                <w:szCs w:val="20"/>
              </w:rPr>
              <w:t> </w:t>
            </w:r>
            <w:r>
              <w:rPr>
                <w:rFonts w:hint="eastAsia" w:ascii="Times New Roman" w:hAnsi="Times New Roman"/>
                <w:kern w:val="0"/>
                <w:sz w:val="18"/>
                <w:szCs w:val="20"/>
              </w:rPr>
              <w:t>2</w:t>
            </w:r>
            <w:r>
              <w:rPr>
                <w:rFonts w:ascii="Times New Roman" w:hAnsi="Times New Roman"/>
                <w:kern w:val="0"/>
                <w:sz w:val="18"/>
                <w:szCs w:val="20"/>
              </w:rPr>
              <w:t> </w:t>
            </w:r>
            <w:r>
              <w:rPr>
                <w:rFonts w:hint="eastAsia" w:ascii="Times New Roman" w:hAnsi="Times New Roman"/>
                <w:kern w:val="0"/>
                <w:sz w:val="18"/>
                <w:szCs w:val="20"/>
              </w:rPr>
              <w:t>片</w:t>
            </w:r>
            <w:r>
              <w:rPr>
                <w:rFonts w:hint="eastAsia" w:ascii="宋体" w:hAnsi="Times New Roman"/>
                <w:kern w:val="0"/>
                <w:sz w:val="18"/>
                <w:szCs w:val="20"/>
              </w:rPr>
              <w:t>叶有缺损、机械伤等现象</w:t>
            </w:r>
          </w:p>
        </w:tc>
        <w:tc>
          <w:tcPr>
            <w:tcW w:w="2407" w:type="dxa"/>
            <w:vAlign w:val="center"/>
          </w:tcPr>
          <w:p>
            <w:pPr>
              <w:widowControl/>
              <w:autoSpaceDE w:val="0"/>
              <w:autoSpaceDN w:val="0"/>
              <w:adjustRightInd/>
              <w:spacing w:line="240" w:lineRule="auto"/>
              <w:jc w:val="left"/>
              <w:rPr>
                <w:rFonts w:ascii="宋体" w:hAnsi="Times New Roman"/>
                <w:kern w:val="0"/>
                <w:sz w:val="18"/>
                <w:szCs w:val="20"/>
              </w:rPr>
            </w:pPr>
            <w:r>
              <w:rPr>
                <w:rFonts w:hint="eastAsia" w:ascii="宋体" w:hAnsi="Times New Roman"/>
                <w:kern w:val="0"/>
                <w:sz w:val="18"/>
                <w:szCs w:val="20"/>
              </w:rPr>
              <w:t>允许</w:t>
            </w:r>
            <w:r>
              <w:rPr>
                <w:rFonts w:ascii="宋体" w:hAnsi="Times New Roman"/>
                <w:kern w:val="0"/>
                <w:sz w:val="18"/>
                <w:szCs w:val="20"/>
              </w:rPr>
              <w:t> </w:t>
            </w:r>
            <w:r>
              <w:rPr>
                <w:rFonts w:hint="eastAsia" w:ascii="宋体" w:hAnsi="Times New Roman"/>
                <w:kern w:val="0"/>
                <w:sz w:val="18"/>
                <w:szCs w:val="20"/>
              </w:rPr>
              <w:t>2 ～ 3 片叶有缺损、畸形、轻微冻伤、机械伤等现象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vMerge w:val="continue"/>
            <w:vAlign w:val="center"/>
          </w:tcPr>
          <w:p>
            <w:pPr>
              <w:widowControl/>
              <w:autoSpaceDE w:val="0"/>
              <w:autoSpaceDN w:val="0"/>
              <w:adjustRightInd/>
              <w:spacing w:line="240" w:lineRule="auto"/>
              <w:jc w:val="center"/>
              <w:rPr>
                <w:rFonts w:ascii="宋体" w:hAnsi="Times New Roman"/>
                <w:kern w:val="0"/>
                <w:sz w:val="18"/>
                <w:szCs w:val="20"/>
              </w:rPr>
            </w:pPr>
          </w:p>
        </w:tc>
        <w:tc>
          <w:tcPr>
            <w:tcW w:w="1134" w:type="dxa"/>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杂质</w:t>
            </w:r>
          </w:p>
        </w:tc>
        <w:tc>
          <w:tcPr>
            <w:tcW w:w="2405" w:type="dxa"/>
            <w:gridSpan w:val="2"/>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无杂质</w:t>
            </w:r>
          </w:p>
        </w:tc>
        <w:tc>
          <w:tcPr>
            <w:tcW w:w="2405" w:type="dxa"/>
            <w:gridSpan w:val="2"/>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无杂质</w:t>
            </w:r>
          </w:p>
        </w:tc>
        <w:tc>
          <w:tcPr>
            <w:tcW w:w="2407" w:type="dxa"/>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允许有</w:t>
            </w:r>
            <w:bookmarkStart w:id="57" w:name="OLE_LINK12"/>
            <w:r>
              <w:rPr>
                <w:rFonts w:hint="eastAsia" w:ascii="宋体" w:hAnsi="Times New Roman"/>
                <w:kern w:val="0"/>
                <w:sz w:val="18"/>
                <w:szCs w:val="20"/>
              </w:rPr>
              <w:t>个别小</w:t>
            </w:r>
            <w:bookmarkEnd w:id="57"/>
            <w:r>
              <w:rPr>
                <w:rFonts w:hint="eastAsia" w:ascii="宋体" w:hAnsi="Times New Roman"/>
                <w:kern w:val="0"/>
                <w:sz w:val="18"/>
                <w:szCs w:val="20"/>
              </w:rPr>
              <w:t>杂质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17" w:type="dxa"/>
            <w:gridSpan w:val="2"/>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真叶数/（单条独立分枝）</w:t>
            </w:r>
          </w:p>
        </w:tc>
        <w:tc>
          <w:tcPr>
            <w:tcW w:w="2405" w:type="dxa"/>
            <w:gridSpan w:val="2"/>
            <w:vAlign w:val="center"/>
          </w:tcPr>
          <w:p>
            <w:pPr>
              <w:widowControl/>
              <w:autoSpaceDE w:val="0"/>
              <w:autoSpaceDN w:val="0"/>
              <w:adjustRightInd/>
              <w:spacing w:line="240" w:lineRule="auto"/>
              <w:jc w:val="center"/>
              <w:rPr>
                <w:rFonts w:hint="eastAsia" w:ascii="宋体" w:hAnsi="Times New Roman" w:eastAsia="宋体"/>
                <w:kern w:val="0"/>
                <w:sz w:val="18"/>
                <w:szCs w:val="20"/>
                <w:lang w:val="en-US" w:eastAsia="zh-CN"/>
              </w:rPr>
            </w:pPr>
            <w:r>
              <w:rPr>
                <w:rFonts w:ascii="Times New Roman" w:hAnsi="Times New Roman"/>
                <w:kern w:val="0"/>
                <w:sz w:val="18"/>
                <w:szCs w:val="20"/>
              </w:rPr>
              <w:t>3 </w:t>
            </w:r>
            <w:r>
              <w:rPr>
                <w:rFonts w:hint="eastAsia" w:ascii="Times New Roman" w:hAnsi="Times New Roman"/>
                <w:kern w:val="0"/>
                <w:sz w:val="18"/>
                <w:szCs w:val="20"/>
                <w:lang w:val="en-US" w:eastAsia="zh-CN"/>
              </w:rPr>
              <w:t>片</w:t>
            </w:r>
            <w:r>
              <w:rPr>
                <w:rFonts w:hint="eastAsia" w:ascii="宋体" w:hAnsi="Times New Roman"/>
                <w:kern w:val="0"/>
                <w:sz w:val="18"/>
                <w:szCs w:val="20"/>
              </w:rPr>
              <w:t>～</w:t>
            </w:r>
            <w:r>
              <w:rPr>
                <w:rFonts w:ascii="Times New Roman" w:hAnsi="Times New Roman"/>
                <w:kern w:val="0"/>
                <w:sz w:val="18"/>
                <w:szCs w:val="20"/>
              </w:rPr>
              <w:t> 6</w:t>
            </w:r>
            <w:r>
              <w:rPr>
                <w:rFonts w:hint="eastAsia" w:ascii="Times New Roman" w:hAnsi="Times New Roman"/>
                <w:kern w:val="0"/>
                <w:sz w:val="18"/>
                <w:szCs w:val="20"/>
              </w:rPr>
              <w:t> </w:t>
            </w:r>
            <w:r>
              <w:rPr>
                <w:rFonts w:hint="eastAsia" w:ascii="Times New Roman" w:hAnsi="Times New Roman"/>
                <w:kern w:val="0"/>
                <w:sz w:val="18"/>
                <w:szCs w:val="20"/>
                <w:lang w:val="en-US" w:eastAsia="zh-CN"/>
              </w:rPr>
              <w:t>片</w:t>
            </w:r>
          </w:p>
        </w:tc>
        <w:tc>
          <w:tcPr>
            <w:tcW w:w="2405" w:type="dxa"/>
            <w:gridSpan w:val="2"/>
            <w:vAlign w:val="center"/>
          </w:tcPr>
          <w:p>
            <w:pPr>
              <w:widowControl/>
              <w:autoSpaceDE w:val="0"/>
              <w:autoSpaceDN w:val="0"/>
              <w:adjustRightInd/>
              <w:spacing w:line="240" w:lineRule="auto"/>
              <w:jc w:val="center"/>
              <w:rPr>
                <w:rFonts w:hint="eastAsia" w:ascii="宋体" w:hAnsi="Times New Roman" w:eastAsia="宋体"/>
                <w:kern w:val="0"/>
                <w:sz w:val="18"/>
                <w:szCs w:val="20"/>
                <w:lang w:val="en-US" w:eastAsia="zh-CN"/>
              </w:rPr>
            </w:pPr>
            <w:r>
              <w:rPr>
                <w:rFonts w:hint="eastAsia" w:ascii="Times New Roman" w:hAnsi="Times New Roman"/>
                <w:kern w:val="0"/>
                <w:sz w:val="18"/>
                <w:szCs w:val="20"/>
              </w:rPr>
              <w:t>3 </w:t>
            </w:r>
            <w:r>
              <w:rPr>
                <w:rFonts w:hint="eastAsia" w:ascii="Times New Roman" w:hAnsi="Times New Roman"/>
                <w:kern w:val="0"/>
                <w:sz w:val="18"/>
                <w:szCs w:val="20"/>
                <w:lang w:val="en-US" w:eastAsia="zh-CN"/>
              </w:rPr>
              <w:t>片</w:t>
            </w:r>
            <w:r>
              <w:rPr>
                <w:rFonts w:hint="eastAsia" w:ascii="Times New Roman" w:hAnsi="Times New Roman"/>
                <w:kern w:val="0"/>
                <w:sz w:val="18"/>
                <w:szCs w:val="20"/>
              </w:rPr>
              <w:t>～ 8 </w:t>
            </w:r>
            <w:r>
              <w:rPr>
                <w:rFonts w:hint="eastAsia" w:ascii="Times New Roman" w:hAnsi="Times New Roman"/>
                <w:kern w:val="0"/>
                <w:sz w:val="18"/>
                <w:szCs w:val="20"/>
                <w:lang w:val="en-US" w:eastAsia="zh-CN"/>
              </w:rPr>
              <w:t>片</w:t>
            </w:r>
          </w:p>
        </w:tc>
        <w:tc>
          <w:tcPr>
            <w:tcW w:w="2407" w:type="dxa"/>
            <w:vAlign w:val="center"/>
          </w:tcPr>
          <w:p>
            <w:pPr>
              <w:widowControl/>
              <w:autoSpaceDE w:val="0"/>
              <w:autoSpaceDN w:val="0"/>
              <w:adjustRightInd/>
              <w:spacing w:line="240" w:lineRule="auto"/>
              <w:jc w:val="center"/>
              <w:rPr>
                <w:rFonts w:hint="eastAsia" w:ascii="宋体" w:hAnsi="Times New Roman" w:eastAsia="宋体"/>
                <w:kern w:val="0"/>
                <w:sz w:val="18"/>
                <w:szCs w:val="20"/>
                <w:lang w:val="en-US" w:eastAsia="zh-CN"/>
              </w:rPr>
            </w:pPr>
            <w:bookmarkStart w:id="58" w:name="OLE_LINK2"/>
            <w:r>
              <w:rPr>
                <w:rFonts w:ascii="Times New Roman" w:hAnsi="Times New Roman"/>
                <w:kern w:val="0"/>
                <w:sz w:val="18"/>
                <w:szCs w:val="20"/>
              </w:rPr>
              <w:t> </w:t>
            </w:r>
            <w:bookmarkEnd w:id="58"/>
            <w:r>
              <w:rPr>
                <w:rFonts w:hint="eastAsia" w:ascii="Times New Roman" w:hAnsi="Times New Roman"/>
                <w:kern w:val="0"/>
                <w:sz w:val="18"/>
                <w:szCs w:val="20"/>
              </w:rPr>
              <w:t>5 </w:t>
            </w:r>
            <w:r>
              <w:rPr>
                <w:rFonts w:hint="eastAsia" w:ascii="Times New Roman" w:hAnsi="Times New Roman"/>
                <w:kern w:val="0"/>
                <w:sz w:val="18"/>
                <w:szCs w:val="20"/>
                <w:lang w:val="en-US" w:eastAsia="zh-CN"/>
              </w:rPr>
              <w:t>片</w:t>
            </w:r>
            <w:r>
              <w:rPr>
                <w:rFonts w:hint="eastAsia" w:ascii="Times New Roman" w:hAnsi="Times New Roman"/>
                <w:kern w:val="0"/>
                <w:sz w:val="18"/>
                <w:szCs w:val="20"/>
              </w:rPr>
              <w:t>～ 8 </w:t>
            </w:r>
            <w:r>
              <w:rPr>
                <w:rFonts w:hint="eastAsia" w:ascii="Times New Roman" w:hAnsi="Times New Roman"/>
                <w:kern w:val="0"/>
                <w:sz w:val="18"/>
                <w:szCs w:val="20"/>
                <w:lang w:val="en-US" w:eastAsia="zh-CN"/>
              </w:rPr>
              <w:t>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17" w:type="dxa"/>
            <w:gridSpan w:val="2"/>
            <w:vAlign w:val="center"/>
          </w:tcPr>
          <w:p>
            <w:pPr>
              <w:widowControl/>
              <w:autoSpaceDE w:val="0"/>
              <w:autoSpaceDN w:val="0"/>
              <w:adjustRightInd/>
              <w:spacing w:line="240" w:lineRule="auto"/>
              <w:jc w:val="center"/>
              <w:rPr>
                <w:rFonts w:ascii="宋体" w:hAnsi="Times New Roman"/>
                <w:kern w:val="0"/>
                <w:sz w:val="18"/>
                <w:szCs w:val="20"/>
              </w:rPr>
            </w:pPr>
            <w:r>
              <w:rPr>
                <w:rFonts w:hint="eastAsia" w:ascii="宋体" w:hAnsi="Times New Roman"/>
                <w:kern w:val="0"/>
                <w:sz w:val="18"/>
                <w:szCs w:val="20"/>
              </w:rPr>
              <w:t>限度</w:t>
            </w:r>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bookmarkStart w:id="59" w:name="OLE_LINK7"/>
            <w:bookmarkStart w:id="60" w:name="OLE_LINK9"/>
            <w:r>
              <w:rPr>
                <w:rFonts w:hint="eastAsia" w:ascii="宋体" w:hAnsi="Times New Roman"/>
                <w:kern w:val="0"/>
                <w:sz w:val="18"/>
                <w:szCs w:val="20"/>
              </w:rPr>
              <w:t>特级允许有</w:t>
            </w:r>
            <w:r>
              <w:rPr>
                <w:rFonts w:ascii="宋体" w:hAnsi="Times New Roman"/>
                <w:kern w:val="0"/>
                <w:sz w:val="18"/>
                <w:szCs w:val="20"/>
              </w:rPr>
              <w:t> </w:t>
            </w:r>
            <w:r>
              <w:rPr>
                <w:rFonts w:ascii="Times New Roman" w:hAnsi="Times New Roman"/>
                <w:kern w:val="0"/>
                <w:sz w:val="18"/>
                <w:szCs w:val="20"/>
              </w:rPr>
              <w:t>5% </w:t>
            </w:r>
            <w:r>
              <w:rPr>
                <w:rFonts w:hint="eastAsia" w:ascii="Times New Roman" w:hAnsi="Times New Roman"/>
                <w:kern w:val="0"/>
                <w:sz w:val="18"/>
                <w:szCs w:val="20"/>
              </w:rPr>
              <w:t>的产品不符合该</w:t>
            </w:r>
            <w:bookmarkStart w:id="61" w:name="OLE_LINK8"/>
            <w:r>
              <w:rPr>
                <w:rFonts w:hint="eastAsia" w:ascii="Times New Roman" w:hAnsi="Times New Roman"/>
                <w:kern w:val="0"/>
                <w:sz w:val="18"/>
                <w:szCs w:val="20"/>
              </w:rPr>
              <w:t>等级的要</w:t>
            </w:r>
            <w:bookmarkEnd w:id="61"/>
            <w:r>
              <w:rPr>
                <w:rFonts w:hint="eastAsia" w:ascii="Times New Roman" w:hAnsi="Times New Roman"/>
                <w:kern w:val="0"/>
                <w:sz w:val="18"/>
                <w:szCs w:val="20"/>
              </w:rPr>
              <w:t>求</w:t>
            </w:r>
            <w:r>
              <w:rPr>
                <w:rFonts w:hint="eastAsia" w:ascii="宋体" w:hAnsi="Times New Roman"/>
                <w:kern w:val="0"/>
                <w:sz w:val="18"/>
                <w:szCs w:val="20"/>
              </w:rPr>
              <w:t>，</w:t>
            </w:r>
            <w:bookmarkEnd w:id="59"/>
            <w:r>
              <w:rPr>
                <w:rFonts w:hint="eastAsia" w:ascii="宋体" w:hAnsi="Times New Roman"/>
                <w:kern w:val="0"/>
                <w:sz w:val="18"/>
                <w:szCs w:val="20"/>
              </w:rPr>
              <w:t>但应符合一级的要求</w:t>
            </w:r>
            <w:bookmarkEnd w:id="60"/>
          </w:p>
        </w:tc>
        <w:tc>
          <w:tcPr>
            <w:tcW w:w="2405" w:type="dxa"/>
            <w:gridSpan w:val="2"/>
            <w:vAlign w:val="center"/>
          </w:tcPr>
          <w:p>
            <w:pPr>
              <w:widowControl/>
              <w:autoSpaceDE w:val="0"/>
              <w:autoSpaceDN w:val="0"/>
              <w:adjustRightInd/>
              <w:spacing w:line="240" w:lineRule="auto"/>
              <w:jc w:val="left"/>
              <w:rPr>
                <w:rFonts w:ascii="宋体" w:hAnsi="Times New Roman"/>
                <w:kern w:val="0"/>
                <w:sz w:val="18"/>
                <w:szCs w:val="20"/>
              </w:rPr>
            </w:pPr>
            <w:bookmarkStart w:id="62" w:name="OLE_LINK10"/>
            <w:r>
              <w:rPr>
                <w:rFonts w:hint="eastAsia" w:ascii="宋体" w:hAnsi="Times New Roman"/>
                <w:kern w:val="0"/>
                <w:sz w:val="18"/>
                <w:szCs w:val="20"/>
              </w:rPr>
              <w:t>一级允许有</w:t>
            </w:r>
            <w:r>
              <w:rPr>
                <w:rFonts w:ascii="宋体" w:hAnsi="Times New Roman"/>
                <w:kern w:val="0"/>
                <w:sz w:val="18"/>
                <w:szCs w:val="20"/>
              </w:rPr>
              <w:t> </w:t>
            </w:r>
            <w:r>
              <w:rPr>
                <w:rFonts w:hint="eastAsia" w:ascii="Times New Roman" w:hAnsi="Times New Roman"/>
                <w:kern w:val="0"/>
                <w:sz w:val="18"/>
                <w:szCs w:val="20"/>
              </w:rPr>
              <w:t>10</w:t>
            </w:r>
            <w:r>
              <w:rPr>
                <w:rFonts w:ascii="Times New Roman" w:hAnsi="Times New Roman"/>
                <w:kern w:val="0"/>
                <w:sz w:val="18"/>
                <w:szCs w:val="20"/>
              </w:rPr>
              <w:t>% </w:t>
            </w:r>
            <w:r>
              <w:rPr>
                <w:rFonts w:hint="eastAsia" w:ascii="Times New Roman" w:hAnsi="Times New Roman"/>
                <w:kern w:val="0"/>
                <w:sz w:val="18"/>
                <w:szCs w:val="20"/>
              </w:rPr>
              <w:t>的产品不符合该等级的要求</w:t>
            </w:r>
            <w:r>
              <w:rPr>
                <w:rFonts w:hint="eastAsia" w:ascii="宋体" w:hAnsi="Times New Roman"/>
                <w:kern w:val="0"/>
                <w:sz w:val="18"/>
                <w:szCs w:val="20"/>
              </w:rPr>
              <w:t>，但应符合二级的要求</w:t>
            </w:r>
            <w:bookmarkEnd w:id="62"/>
          </w:p>
        </w:tc>
        <w:tc>
          <w:tcPr>
            <w:tcW w:w="2407" w:type="dxa"/>
            <w:vAlign w:val="center"/>
          </w:tcPr>
          <w:p>
            <w:pPr>
              <w:widowControl/>
              <w:autoSpaceDE w:val="0"/>
              <w:autoSpaceDN w:val="0"/>
              <w:adjustRightInd/>
              <w:spacing w:line="240" w:lineRule="auto"/>
              <w:jc w:val="left"/>
              <w:rPr>
                <w:rFonts w:ascii="宋体" w:hAnsi="Times New Roman"/>
                <w:kern w:val="0"/>
                <w:sz w:val="18"/>
                <w:szCs w:val="20"/>
              </w:rPr>
            </w:pPr>
            <w:r>
              <w:rPr>
                <w:rFonts w:hint="eastAsia" w:ascii="宋体" w:hAnsi="Times New Roman"/>
                <w:kern w:val="0"/>
                <w:sz w:val="18"/>
                <w:szCs w:val="20"/>
              </w:rPr>
              <w:t>二级允许有</w:t>
            </w:r>
            <w:r>
              <w:rPr>
                <w:rFonts w:ascii="宋体" w:hAnsi="Times New Roman"/>
                <w:kern w:val="0"/>
                <w:sz w:val="18"/>
                <w:szCs w:val="20"/>
              </w:rPr>
              <w:t> </w:t>
            </w:r>
            <w:r>
              <w:rPr>
                <w:rFonts w:hint="eastAsia" w:ascii="Times New Roman" w:hAnsi="Times New Roman"/>
                <w:kern w:val="0"/>
                <w:sz w:val="18"/>
                <w:szCs w:val="20"/>
              </w:rPr>
              <w:t>10</w:t>
            </w:r>
            <w:r>
              <w:rPr>
                <w:rFonts w:ascii="Times New Roman" w:hAnsi="Times New Roman"/>
                <w:kern w:val="0"/>
                <w:sz w:val="18"/>
                <w:szCs w:val="20"/>
              </w:rPr>
              <w:t>% </w:t>
            </w:r>
            <w:r>
              <w:rPr>
                <w:rFonts w:hint="eastAsia" w:ascii="Times New Roman" w:hAnsi="Times New Roman"/>
                <w:kern w:val="0"/>
                <w:sz w:val="18"/>
                <w:szCs w:val="20"/>
              </w:rPr>
              <w:t>的产品不符合该等级的要求，但应符合基本要求</w:t>
            </w:r>
          </w:p>
        </w:tc>
      </w:tr>
      <w:bookmarkEnd w:id="49"/>
    </w:tbl>
    <w:p>
      <w:pPr>
        <w:pStyle w:val="114"/>
        <w:spacing w:before="240" w:after="240"/>
      </w:pPr>
      <w:r>
        <w:rPr>
          <w:rFonts w:hint="eastAsia"/>
        </w:rPr>
        <w:t>试验方法</w:t>
      </w:r>
    </w:p>
    <w:p>
      <w:pPr>
        <w:pStyle w:val="115"/>
        <w:spacing w:before="120" w:after="120"/>
      </w:pPr>
      <w:r>
        <w:rPr>
          <w:rFonts w:hint="eastAsia"/>
        </w:rPr>
        <w:t>基本要求</w:t>
      </w:r>
    </w:p>
    <w:p>
      <w:pPr>
        <w:pStyle w:val="66"/>
        <w:ind w:firstLine="420"/>
      </w:pPr>
      <w:bookmarkStart w:id="63" w:name="_Hlk195539589"/>
      <w:r>
        <w:rPr>
          <w:rFonts w:hint="eastAsia"/>
        </w:rPr>
        <w:t>气味和异味采用鼻嗅</w:t>
      </w:r>
      <w:bookmarkStart w:id="64" w:name="OLE_LINK26"/>
      <w:r>
        <w:rPr>
          <w:rFonts w:hint="eastAsia"/>
        </w:rPr>
        <w:t>方式</w:t>
      </w:r>
      <w:bookmarkStart w:id="65" w:name="OLE_LINK22"/>
      <w:r>
        <w:rPr>
          <w:rFonts w:hint="eastAsia"/>
        </w:rPr>
        <w:t>评</w:t>
      </w:r>
      <w:bookmarkStart w:id="66" w:name="OLE_LINK23"/>
      <w:r>
        <w:rPr>
          <w:rFonts w:hint="eastAsia"/>
        </w:rPr>
        <w:t>判</w:t>
      </w:r>
      <w:bookmarkEnd w:id="64"/>
      <w:bookmarkEnd w:id="65"/>
      <w:bookmarkEnd w:id="66"/>
      <w:bookmarkStart w:id="67" w:name="OLE_LINK21"/>
      <w:r>
        <w:rPr>
          <w:rFonts w:hint="eastAsia"/>
        </w:rPr>
        <w:t>。形态、腐烂、发霉、</w:t>
      </w:r>
      <w:r>
        <w:rPr>
          <w:rFonts w:hint="eastAsia"/>
          <w:szCs w:val="21"/>
        </w:rPr>
        <w:t>抽薹、开花结蒴，以及冻伤、机械损伤</w:t>
      </w:r>
      <w:bookmarkEnd w:id="67"/>
      <w:r>
        <w:rPr>
          <w:rFonts w:hint="eastAsia"/>
        </w:rPr>
        <w:t>，通过目测</w:t>
      </w:r>
      <w:bookmarkEnd w:id="63"/>
      <w:r>
        <w:rPr>
          <w:rFonts w:hint="eastAsia"/>
        </w:rPr>
        <w:t>的方法判定。</w:t>
      </w:r>
    </w:p>
    <w:p>
      <w:pPr>
        <w:pStyle w:val="115"/>
        <w:spacing w:before="120" w:after="120"/>
      </w:pPr>
      <w:r>
        <w:rPr>
          <w:rFonts w:hint="eastAsia"/>
        </w:rPr>
        <w:t>感官指标</w:t>
      </w:r>
    </w:p>
    <w:p>
      <w:pPr>
        <w:pStyle w:val="66"/>
        <w:ind w:firstLine="420"/>
      </w:pPr>
      <w:bookmarkStart w:id="68" w:name="OLE_LINK28"/>
      <w:r>
        <w:rPr>
          <w:rFonts w:hint="eastAsia"/>
        </w:rPr>
        <w:t>采用目测方式评判。</w:t>
      </w:r>
      <w:bookmarkStart w:id="69" w:name="OLE_LINK27"/>
    </w:p>
    <w:bookmarkEnd w:id="68"/>
    <w:bookmarkEnd w:id="69"/>
    <w:p>
      <w:pPr>
        <w:pStyle w:val="115"/>
        <w:spacing w:before="120" w:after="120"/>
      </w:pPr>
      <w:bookmarkStart w:id="70" w:name="OLE_LINK4"/>
      <w:r>
        <w:rPr>
          <w:rFonts w:hint="eastAsia"/>
        </w:rPr>
        <w:t>真叶数</w:t>
      </w:r>
    </w:p>
    <w:bookmarkEnd w:id="70"/>
    <w:p>
      <w:pPr>
        <w:pStyle w:val="66"/>
        <w:ind w:firstLine="420"/>
        <w:rPr>
          <w:rFonts w:hint="eastAsia" w:ascii="瀹嬩綋" w:hAnsi="宋体" w:eastAsia="瀹嬩綋" w:cs="宋体"/>
          <w:color w:val="000000"/>
        </w:rPr>
      </w:pPr>
      <w:bookmarkStart w:id="71" w:name="OLE_LINK5"/>
      <w:bookmarkStart w:id="72" w:name="OLE_LINK6"/>
      <w:r>
        <w:rPr>
          <w:rFonts w:hint="eastAsia" w:ascii="瀹嬩綋" w:hAnsi="宋体" w:eastAsia="瀹嬩綋" w:cs="宋体"/>
          <w:color w:val="000000"/>
        </w:rPr>
        <w:t>从同一批次菜用黄麻样品中随机抽取</w:t>
      </w:r>
      <w:r>
        <w:rPr>
          <w:color w:val="000000"/>
        </w:rPr>
        <w:t> </w:t>
      </w:r>
      <w:r>
        <w:rPr>
          <w:rFonts w:eastAsia="瀹嬩綋"/>
          <w:color w:val="000000"/>
        </w:rPr>
        <w:t>2</w:t>
      </w:r>
      <w:r>
        <w:rPr>
          <w:rFonts w:hint="eastAsia" w:eastAsia="瀹嬩綋"/>
          <w:color w:val="000000"/>
        </w:rPr>
        <w:t>0</w:t>
      </w:r>
      <w:r>
        <w:rPr>
          <w:rFonts w:eastAsia="瀹嬩綋"/>
          <w:color w:val="000000"/>
        </w:rPr>
        <w:t>0</w:t>
      </w:r>
      <w:r>
        <w:rPr>
          <w:color w:val="000000"/>
        </w:rPr>
        <w:t> </w:t>
      </w:r>
      <w:r>
        <w:rPr>
          <w:rFonts w:hint="eastAsia" w:ascii="瀹嬩綋" w:hAnsi="宋体" w:eastAsia="瀹嬩綋" w:cs="宋体"/>
          <w:color w:val="000000"/>
        </w:rPr>
        <w:t>个单条独立分枝试样，逐枝进行真叶计数。</w:t>
      </w:r>
    </w:p>
    <w:bookmarkEnd w:id="71"/>
    <w:bookmarkEnd w:id="72"/>
    <w:p>
      <w:pPr>
        <w:pStyle w:val="114"/>
        <w:spacing w:before="240" w:after="240"/>
      </w:pPr>
      <w:r>
        <w:rPr>
          <w:rFonts w:hint="eastAsia"/>
        </w:rPr>
        <w:t>检验规则</w:t>
      </w:r>
    </w:p>
    <w:p>
      <w:pPr>
        <w:pStyle w:val="115"/>
        <w:spacing w:before="120" w:after="120"/>
      </w:pPr>
      <w:r>
        <w:rPr>
          <w:rFonts w:hint="eastAsia"/>
        </w:rPr>
        <w:t>批次</w:t>
      </w:r>
    </w:p>
    <w:p>
      <w:pPr>
        <w:pStyle w:val="66"/>
        <w:ind w:firstLine="420"/>
      </w:pPr>
      <w:r>
        <w:rPr>
          <w:rFonts w:hint="eastAsia"/>
        </w:rPr>
        <w:t>每一次将同产地、同时间采收的同等级、同品种菜用黄麻作为一个检验批次。</w:t>
      </w:r>
    </w:p>
    <w:p>
      <w:pPr>
        <w:pStyle w:val="115"/>
        <w:spacing w:before="120" w:after="120"/>
      </w:pPr>
      <w:r>
        <w:rPr>
          <w:rFonts w:hint="eastAsia"/>
        </w:rPr>
        <w:t>抽样方法</w:t>
      </w:r>
    </w:p>
    <w:p>
      <w:pPr>
        <w:pStyle w:val="66"/>
        <w:ind w:firstLine="420"/>
      </w:pPr>
      <w:r>
        <w:rPr>
          <w:rFonts w:hint="eastAsia"/>
        </w:rPr>
        <w:t>按照</w:t>
      </w:r>
      <w:bookmarkStart w:id="73" w:name="_Hlk196229459"/>
      <w:r>
        <w:t> </w:t>
      </w:r>
      <w:r>
        <w:rPr>
          <w:rFonts w:hint="eastAsia"/>
        </w:rPr>
        <w:t>NY/T 2103</w:t>
      </w:r>
      <w:bookmarkEnd w:id="73"/>
      <w:r>
        <w:t> </w:t>
      </w:r>
      <w:r>
        <w:rPr>
          <w:rFonts w:hint="eastAsia"/>
        </w:rPr>
        <w:t>规定的方法执行。</w:t>
      </w:r>
    </w:p>
    <w:p>
      <w:pPr>
        <w:pStyle w:val="115"/>
        <w:spacing w:before="120" w:after="120"/>
      </w:pPr>
      <w:r>
        <w:rPr>
          <w:rFonts w:hint="eastAsia"/>
        </w:rPr>
        <w:t>判定规则</w:t>
      </w:r>
    </w:p>
    <w:p>
      <w:pPr>
        <w:pStyle w:val="75"/>
        <w:spacing w:before="120" w:after="120"/>
      </w:pPr>
      <w:r>
        <w:rPr>
          <w:rFonts w:hint="eastAsia"/>
        </w:rPr>
        <w:t>不合格百分率计算</w:t>
      </w:r>
    </w:p>
    <w:p>
      <w:pPr>
        <w:pStyle w:val="66"/>
        <w:ind w:firstLine="420"/>
      </w:pPr>
      <w:r>
        <w:rPr>
          <w:rFonts w:hint="eastAsia"/>
        </w:rPr>
        <w:t>每批次样本检验时，对不符合品质要求的个体进行记录。若单一样本同时存在多项缺陷，选择一个主要的缺陷，按一个残次品计算。不合格率按公式（1）计算，结果保留小数点后一位。</w:t>
      </w:r>
    </w:p>
    <w:p>
      <w:pPr>
        <w:pStyle w:val="123"/>
        <w:rPr>
          <w:rFonts w:hint="eastAsia"/>
        </w:rPr>
      </w:pPr>
      <w:r>
        <w:rPr>
          <w:rFonts w:hint="eastAsia"/>
        </w:rPr>
        <w:tab/>
      </w:r>
    </w:p>
    <w:p>
      <w:pPr>
        <w:pStyle w:val="123"/>
        <w:rPr>
          <w:rFonts w:hint="eastAsia"/>
        </w:rPr>
      </w:pPr>
      <w:r>
        <w:rPr>
          <w:rFonts w:hint="eastAsia"/>
        </w:rPr>
        <w:tab/>
      </w:r>
      <m:oMath>
        <m:r>
          <m:rPr/>
          <w:rPr>
            <w:rFonts w:ascii="Cambria Math" w:hAnsi="Cambria Math"/>
          </w:rPr>
          <m:t>X</m:t>
        </m:r>
        <m:r>
          <m:rPr>
            <m:sty m:val="p"/>
          </m:rPr>
          <w:rPr>
            <w:rFonts w:ascii="Cambria Math" w:hAnsi="Cambria Math"/>
          </w:rPr>
          <m:t>=</m:t>
        </m:r>
        <m:r>
          <m:rPr/>
          <w:rPr>
            <w:rFonts w:ascii="Cambria Math" w:hAnsi="Cambria Math"/>
          </w:rPr>
          <m:t>n / N</m:t>
        </m:r>
      </m:oMath>
      <w:r>
        <w:rPr>
          <w:rFonts w:hint="eastAsia" w:ascii="微软雅黑" w:hAnsi="微软雅黑" w:eastAsia="微软雅黑" w:cs="微软雅黑"/>
        </w:rPr>
        <w:tab/>
      </w:r>
      <w:r>
        <w:rPr>
          <w:rFonts w:hint="eastAsia"/>
        </w:rPr>
        <w:t>(</w:t>
      </w:r>
      <w:r>
        <w:rPr>
          <w:rFonts w:hint="eastAsia"/>
        </w:rPr>
        <w:fldChar w:fldCharType="begin"/>
      </w:r>
      <w:r>
        <w:rPr>
          <w:rFonts w:hint="eastAsia"/>
        </w:rPr>
        <w:instrText xml:space="preserve"> SEQ 公式 \* ARABIC </w:instrText>
      </w:r>
      <w:r>
        <w:rPr>
          <w:rFonts w:hint="eastAsia"/>
        </w:rPr>
        <w:fldChar w:fldCharType="separate"/>
      </w:r>
      <w:r>
        <w:rPr>
          <w:rFonts w:hint="eastAsia"/>
        </w:rPr>
        <w:t>1</w:t>
      </w:r>
      <w:r>
        <w:rPr>
          <w:rFonts w:hint="eastAsia"/>
        </w:rPr>
        <w:fldChar w:fldCharType="end"/>
      </w:r>
      <w:r>
        <w:rPr>
          <w:rFonts w:hint="eastAsia"/>
        </w:rPr>
        <w:t>)</w:t>
      </w:r>
    </w:p>
    <w:p>
      <w:pPr>
        <w:pStyle w:val="65"/>
        <w:ind w:firstLine="420"/>
      </w:pPr>
      <w:r>
        <w:rPr>
          <w:rFonts w:hint="eastAsia"/>
        </w:rPr>
        <w:t>式中：</w:t>
      </w:r>
    </w:p>
    <w:p>
      <w:pPr>
        <w:pStyle w:val="66"/>
        <w:ind w:firstLine="420"/>
      </w:pPr>
      <w:r>
        <w:rPr>
          <w:rFonts w:hint="eastAsia"/>
          <w:i/>
          <w:iCs/>
        </w:rPr>
        <w:t>X</w:t>
      </w:r>
      <w:r>
        <w:t>——</w:t>
      </w:r>
      <w:r>
        <w:rPr>
          <w:rFonts w:hint="eastAsia"/>
        </w:rPr>
        <w:t>单项不合格百分率，%；</w:t>
      </w:r>
    </w:p>
    <w:p>
      <w:pPr>
        <w:pStyle w:val="66"/>
        <w:ind w:firstLine="420"/>
      </w:pPr>
      <w:r>
        <w:rPr>
          <w:rFonts w:hint="eastAsia"/>
          <w:i/>
          <w:iCs/>
        </w:rPr>
        <w:t>n</w:t>
      </w:r>
      <w:r>
        <w:t>——</w:t>
      </w:r>
      <w:r>
        <w:rPr>
          <w:rFonts w:hint="eastAsia"/>
        </w:rPr>
        <w:t>单项不合格样本数，单位为</w:t>
      </w:r>
      <w:r>
        <w:rPr>
          <w:rFonts w:hint="eastAsia"/>
          <w:lang w:val="en-US" w:eastAsia="zh-CN"/>
        </w:rPr>
        <w:t>枝</w:t>
      </w:r>
      <w:r>
        <w:rPr>
          <w:rFonts w:hint="eastAsia"/>
        </w:rPr>
        <w:t>；</w:t>
      </w:r>
    </w:p>
    <w:p>
      <w:pPr>
        <w:pStyle w:val="66"/>
        <w:ind w:firstLine="420"/>
      </w:pPr>
      <w:r>
        <w:rPr>
          <w:rFonts w:hint="eastAsia"/>
          <w:i/>
          <w:iCs/>
        </w:rPr>
        <w:t>N</w:t>
      </w:r>
      <w:r>
        <w:t>——</w:t>
      </w:r>
      <w:r>
        <w:rPr>
          <w:rFonts w:hint="eastAsia"/>
        </w:rPr>
        <w:t>检验样品总量，单位为</w:t>
      </w:r>
      <w:r>
        <w:rPr>
          <w:rFonts w:hint="eastAsia"/>
          <w:lang w:val="en-US" w:eastAsia="zh-CN"/>
        </w:rPr>
        <w:t>枝</w:t>
      </w:r>
      <w:r>
        <w:rPr>
          <w:rFonts w:hint="eastAsia"/>
        </w:rPr>
        <w:t>。</w:t>
      </w:r>
    </w:p>
    <w:p>
      <w:pPr>
        <w:pStyle w:val="66"/>
        <w:ind w:firstLine="420"/>
      </w:pPr>
      <w:r>
        <w:rPr>
          <w:rFonts w:hint="eastAsia"/>
        </w:rPr>
        <w:t>各单项不合格百分率之和即为总不合格百分率。</w:t>
      </w:r>
    </w:p>
    <w:p>
      <w:pPr>
        <w:pStyle w:val="75"/>
        <w:spacing w:before="120" w:after="120"/>
      </w:pPr>
      <w:r>
        <w:rPr>
          <w:rFonts w:hint="eastAsia"/>
        </w:rPr>
        <w:t>限度范围</w:t>
      </w:r>
    </w:p>
    <w:p>
      <w:pPr>
        <w:pStyle w:val="66"/>
        <w:ind w:firstLine="420"/>
      </w:pPr>
      <w:r>
        <w:rPr>
          <w:rFonts w:hint="eastAsia"/>
        </w:rPr>
        <w:t>每批受检样品不合格率按其所检单位（如每筐、</w:t>
      </w:r>
      <w:bookmarkStart w:id="74" w:name="OLE_LINK11"/>
      <w:r>
        <w:rPr>
          <w:rFonts w:hint="eastAsia"/>
        </w:rPr>
        <w:t>每袋、每箱</w:t>
      </w:r>
      <w:bookmarkEnd w:id="74"/>
      <w:r>
        <w:rPr>
          <w:rFonts w:hint="eastAsia"/>
        </w:rPr>
        <w:t>）的平均值计算，总不合格率不应超过该等级规定范围。</w:t>
      </w:r>
    </w:p>
    <w:p>
      <w:pPr>
        <w:pStyle w:val="66"/>
        <w:ind w:firstLine="420"/>
      </w:pPr>
      <w:r>
        <w:rPr>
          <w:rFonts w:hint="eastAsia"/>
        </w:rPr>
        <w:t>如同一批次某件样品不合格百分率超过规定的限度时，为避免不合格率变异幅度太大，规定如下：</w:t>
      </w:r>
    </w:p>
    <w:p>
      <w:pPr>
        <w:pStyle w:val="66"/>
        <w:ind w:firstLine="420"/>
      </w:pPr>
      <w:bookmarkStart w:id="75" w:name="OLE_LINK36"/>
      <w:bookmarkStart w:id="76" w:name="OLE_LINK35"/>
      <w:r>
        <w:t>——</w:t>
      </w:r>
      <w:bookmarkEnd w:id="75"/>
      <w:r>
        <w:rPr>
          <w:rFonts w:hint="eastAsia"/>
        </w:rPr>
        <w:t>规定限度总计不超过 5％ 者，则任何包装不合格百分率的上限不应超过10％；</w:t>
      </w:r>
    </w:p>
    <w:p>
      <w:pPr>
        <w:pStyle w:val="66"/>
        <w:ind w:firstLine="420"/>
      </w:pPr>
      <w:bookmarkStart w:id="77" w:name="OLE_LINK37"/>
      <w:r>
        <w:t>——</w:t>
      </w:r>
      <w:bookmarkEnd w:id="77"/>
      <w:r>
        <w:rPr>
          <w:rFonts w:hint="eastAsia"/>
        </w:rPr>
        <w:t>规定限度总计不超过10％ 者，则任何包装不合格百分率的上限不应超过15％；</w:t>
      </w:r>
    </w:p>
    <w:p>
      <w:pPr>
        <w:pStyle w:val="66"/>
        <w:ind w:firstLine="420"/>
      </w:pPr>
      <w:r>
        <w:t>——</w:t>
      </w:r>
      <w:r>
        <w:rPr>
          <w:rFonts w:hint="eastAsia"/>
        </w:rPr>
        <w:t>如超过以上规定的，按降级或等外品处理。</w:t>
      </w:r>
    </w:p>
    <w:bookmarkEnd w:id="76"/>
    <w:p>
      <w:pPr>
        <w:pStyle w:val="75"/>
        <w:spacing w:before="120" w:after="120"/>
      </w:pPr>
      <w:r>
        <w:rPr>
          <w:rFonts w:hint="eastAsia"/>
        </w:rPr>
        <w:t>等外品判定</w:t>
      </w:r>
    </w:p>
    <w:p>
      <w:pPr>
        <w:pStyle w:val="66"/>
        <w:ind w:firstLine="420"/>
      </w:pPr>
      <w:r>
        <w:rPr>
          <w:rFonts w:hint="eastAsia"/>
        </w:rPr>
        <w:t>不符合第</w:t>
      </w:r>
      <w:r>
        <w:t> </w:t>
      </w:r>
      <w:r>
        <w:rPr>
          <w:rFonts w:hint="eastAsia"/>
        </w:rPr>
        <w:t>5</w:t>
      </w:r>
      <w:r>
        <w:t> </w:t>
      </w:r>
      <w:r>
        <w:rPr>
          <w:rFonts w:hint="eastAsia"/>
        </w:rPr>
        <w:t>章表</w:t>
      </w:r>
      <w:r>
        <w:t> </w:t>
      </w:r>
      <w:r>
        <w:rPr>
          <w:rFonts w:hint="eastAsia"/>
        </w:rPr>
        <w:t>1</w:t>
      </w:r>
      <w:r>
        <w:t> </w:t>
      </w:r>
      <w:r>
        <w:rPr>
          <w:rFonts w:hint="eastAsia"/>
        </w:rPr>
        <w:t>要求，且不存在腐烂、霉变、异味或严重冻伤等缺陷的，判定为等外品。</w:t>
      </w:r>
    </w:p>
    <w:p>
      <w:pPr>
        <w:pStyle w:val="75"/>
        <w:spacing w:before="120" w:after="120"/>
      </w:pPr>
      <w:r>
        <w:rPr>
          <w:rFonts w:hint="eastAsia"/>
        </w:rPr>
        <w:t>合格判定</w:t>
      </w:r>
    </w:p>
    <w:p>
      <w:pPr>
        <w:pStyle w:val="104"/>
        <w:spacing w:before="120" w:after="120"/>
        <w:rPr>
          <w:rFonts w:hint="eastAsia" w:ascii="宋体" w:hAnsi="宋体" w:eastAsia="宋体"/>
        </w:rPr>
      </w:pPr>
      <w:r>
        <w:rPr>
          <w:rFonts w:hint="eastAsia" w:ascii="宋体" w:hAnsi="宋体" w:eastAsia="宋体"/>
        </w:rPr>
        <w:t>按本文件进行测定,检验结果全部符合本文件要求的,则判定该批次菜用黄麻为合格产品。</w:t>
      </w:r>
    </w:p>
    <w:p>
      <w:pPr>
        <w:pStyle w:val="104"/>
        <w:spacing w:before="120" w:after="120"/>
        <w:rPr>
          <w:rFonts w:hint="eastAsia" w:ascii="宋体" w:hAnsi="宋体" w:eastAsia="宋体"/>
        </w:rPr>
      </w:pPr>
      <w:r>
        <w:rPr>
          <w:rFonts w:hint="eastAsia" w:ascii="宋体" w:hAnsi="宋体" w:eastAsia="宋体"/>
        </w:rPr>
        <w:t>菜用黄麻质量分级指标有一项不合格,可重新抽取同批产品进行加倍复检,若仍不合格,则判定该批次产品为不合格产品。</w:t>
      </w:r>
    </w:p>
    <w:p>
      <w:pPr>
        <w:pStyle w:val="114"/>
        <w:spacing w:before="240" w:after="240"/>
      </w:pPr>
      <w:bookmarkStart w:id="78" w:name="OLE_LINK31"/>
      <w:r>
        <w:rPr>
          <w:rFonts w:hint="eastAsia"/>
        </w:rPr>
        <w:t>标志、标签、包装</w:t>
      </w:r>
      <w:bookmarkEnd w:id="78"/>
      <w:r>
        <w:rPr>
          <w:rFonts w:hint="eastAsia"/>
        </w:rPr>
        <w:t>与贮放</w:t>
      </w:r>
    </w:p>
    <w:p>
      <w:pPr>
        <w:pStyle w:val="115"/>
        <w:spacing w:before="120" w:after="120"/>
      </w:pPr>
      <w:bookmarkStart w:id="79" w:name="OLE_LINK32"/>
      <w:r>
        <w:rPr>
          <w:rFonts w:hint="eastAsia"/>
        </w:rPr>
        <w:t>标志、标签</w:t>
      </w:r>
    </w:p>
    <w:bookmarkEnd w:id="79"/>
    <w:p>
      <w:pPr>
        <w:pStyle w:val="66"/>
        <w:ind w:firstLine="420"/>
      </w:pPr>
      <w:r>
        <w:rPr>
          <w:rFonts w:hint="eastAsia"/>
        </w:rPr>
        <w:t>包装或标签上标明种类、质量等级、生产单位、产地、采用标准号、采收日期、保质期。标志、标签应符合</w:t>
      </w:r>
      <w:r>
        <w:t> </w:t>
      </w:r>
      <w:r>
        <w:rPr>
          <w:rFonts w:hint="eastAsia"/>
        </w:rPr>
        <w:t>NT/T 1655</w:t>
      </w:r>
      <w:r>
        <w:t> </w:t>
      </w:r>
      <w:r>
        <w:rPr>
          <w:rFonts w:hint="eastAsia"/>
        </w:rPr>
        <w:t>的规定。</w:t>
      </w:r>
    </w:p>
    <w:p>
      <w:pPr>
        <w:pStyle w:val="115"/>
        <w:spacing w:before="120" w:after="120"/>
      </w:pPr>
      <w:bookmarkStart w:id="80" w:name="OLE_LINK30"/>
      <w:r>
        <w:rPr>
          <w:rFonts w:hint="eastAsia"/>
        </w:rPr>
        <w:t>包装</w:t>
      </w:r>
    </w:p>
    <w:p>
      <w:pPr>
        <w:pStyle w:val="66"/>
        <w:ind w:firstLine="420"/>
      </w:pPr>
      <w:r>
        <w:rPr>
          <w:rFonts w:hint="eastAsia"/>
        </w:rPr>
        <w:t>采用散装或容器包装。包装容器（筐、袋、箱等）</w:t>
      </w:r>
      <w:bookmarkStart w:id="81" w:name="OLE_LINK34"/>
      <w:r>
        <w:rPr>
          <w:rFonts w:hint="eastAsia"/>
        </w:rPr>
        <w:t>应整洁、牢固、透气、无污染、无异味、无霉变。</w:t>
      </w:r>
    </w:p>
    <w:bookmarkEnd w:id="80"/>
    <w:bookmarkEnd w:id="81"/>
    <w:p>
      <w:pPr>
        <w:pStyle w:val="115"/>
        <w:spacing w:before="120" w:after="120"/>
      </w:pPr>
      <w:r>
        <w:rPr>
          <w:rFonts w:hint="eastAsia"/>
        </w:rPr>
        <w:t>贮放</w:t>
      </w:r>
    </w:p>
    <w:p>
      <w:pPr>
        <w:pStyle w:val="66"/>
        <w:ind w:firstLine="420"/>
      </w:pPr>
      <w:r>
        <w:rPr>
          <w:rFonts w:hint="eastAsia"/>
        </w:rPr>
        <w:t>按</w:t>
      </w:r>
      <w:r>
        <w:t> </w:t>
      </w:r>
      <w:bookmarkStart w:id="82" w:name="OLE_LINK25"/>
      <w:r>
        <w:rPr>
          <w:rFonts w:hint="eastAsia"/>
        </w:rPr>
        <w:t>T/STBZ 10—2022</w:t>
      </w:r>
      <w:bookmarkEnd w:id="82"/>
      <w:r>
        <w:t> </w:t>
      </w:r>
      <w:r>
        <w:rPr>
          <w:rFonts w:hint="eastAsia"/>
        </w:rPr>
        <w:t>中</w:t>
      </w:r>
      <w:r>
        <w:t> </w:t>
      </w:r>
      <w:r>
        <w:rPr>
          <w:rFonts w:hint="eastAsia"/>
        </w:rPr>
        <w:t>8.3</w:t>
      </w:r>
      <w:r>
        <w:t> </w:t>
      </w:r>
      <w:r>
        <w:rPr>
          <w:rFonts w:hint="eastAsia"/>
        </w:rPr>
        <w:t>规定的方法进行。</w:t>
      </w:r>
    </w:p>
    <w:p>
      <w:pPr>
        <w:pStyle w:val="66"/>
        <w:ind w:firstLine="420"/>
      </w:pPr>
    </w:p>
    <w:p>
      <w:pPr>
        <w:pStyle w:val="66"/>
        <w:ind w:firstLine="420"/>
      </w:pPr>
    </w:p>
    <w:p>
      <w:pPr>
        <w:pStyle w:val="66"/>
        <w:ind w:firstLine="420"/>
        <w:sectPr>
          <w:pgSz w:w="11906" w:h="16838"/>
          <w:pgMar w:top="1928" w:right="1134" w:bottom="1134" w:left="1134" w:header="1418" w:footer="1134" w:gutter="284"/>
          <w:pgNumType w:start="1"/>
          <w:cols w:space="425" w:num="1"/>
          <w:formProt w:val="0"/>
          <w:docGrid w:linePitch="312" w:charSpace="0"/>
        </w:sectPr>
      </w:pPr>
    </w:p>
    <w:bookmarkEnd w:id="24"/>
    <w:p>
      <w:pPr>
        <w:pStyle w:val="208"/>
        <w:rPr>
          <w:rFonts w:hint="eastAsia"/>
        </w:rPr>
      </w:pPr>
      <w:bookmarkStart w:id="83" w:name="BookMark5"/>
    </w:p>
    <w:p>
      <w:pPr>
        <w:pStyle w:val="209"/>
      </w:pPr>
    </w:p>
    <w:p>
      <w:pPr>
        <w:pStyle w:val="86"/>
        <w:spacing w:after="120"/>
      </w:pPr>
      <w:r>
        <w:br w:type="textWrapping"/>
      </w:r>
      <w:r>
        <w:rPr>
          <w:rFonts w:hint="eastAsia"/>
        </w:rPr>
        <w:t>（资料性）</w:t>
      </w:r>
      <w:r>
        <w:rPr>
          <w:rFonts w:hint="eastAsia"/>
        </w:rPr>
        <w:br w:type="textWrapping"/>
      </w:r>
      <w:r>
        <w:rPr>
          <w:rFonts w:hint="eastAsia"/>
        </w:rPr>
        <w:t>各等级菜用黄麻实物参考图片</w:t>
      </w:r>
    </w:p>
    <w:p>
      <w:pPr>
        <w:pStyle w:val="66"/>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9" w:hRule="atLeast"/>
        </w:trPr>
        <w:tc>
          <w:tcPr>
            <w:tcW w:w="9570" w:type="dxa"/>
            <w:tcBorders>
              <w:tl2br w:val="nil"/>
              <w:tr2bl w:val="nil"/>
            </w:tcBorders>
          </w:tcPr>
          <w:p>
            <w:pPr>
              <w:pStyle w:val="66"/>
              <w:ind w:firstLine="0" w:firstLineChars="0"/>
              <w:jc w:val="center"/>
            </w:pPr>
            <w:r>
              <w:drawing>
                <wp:inline distT="0" distB="0" distL="114300" distR="114300">
                  <wp:extent cx="5219700" cy="3489960"/>
                  <wp:effectExtent l="0" t="0" r="762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219700" cy="3489960"/>
                          </a:xfrm>
                          <a:prstGeom prst="rect">
                            <a:avLst/>
                          </a:prstGeom>
                          <a:noFill/>
                          <a:ln>
                            <a:noFill/>
                          </a:ln>
                        </pic:spPr>
                      </pic:pic>
                    </a:graphicData>
                  </a:graphic>
                </wp:inline>
              </w:drawing>
            </w:r>
          </w:p>
        </w:tc>
      </w:tr>
    </w:tbl>
    <w:p>
      <w:pPr>
        <w:pStyle w:val="93"/>
        <w:spacing w:before="120" w:after="120"/>
      </w:pPr>
      <w:r>
        <w:rPr>
          <w:rFonts w:hint="eastAsia"/>
        </w:rPr>
        <w:t>菜用黄麻（特级）</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9" w:hRule="atLeast"/>
        </w:trPr>
        <w:tc>
          <w:tcPr>
            <w:tcW w:w="9570" w:type="dxa"/>
            <w:tcBorders>
              <w:tl2br w:val="nil"/>
              <w:tr2bl w:val="nil"/>
            </w:tcBorders>
          </w:tcPr>
          <w:p>
            <w:pPr>
              <w:pStyle w:val="66"/>
              <w:ind w:firstLine="0" w:firstLineChars="0"/>
              <w:jc w:val="center"/>
            </w:pPr>
            <w:r>
              <w:drawing>
                <wp:inline distT="0" distB="0" distL="114300" distR="114300">
                  <wp:extent cx="5219700" cy="3075940"/>
                  <wp:effectExtent l="0" t="0" r="762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19700" cy="3075940"/>
                          </a:xfrm>
                          <a:prstGeom prst="rect">
                            <a:avLst/>
                          </a:prstGeom>
                          <a:noFill/>
                          <a:ln>
                            <a:noFill/>
                          </a:ln>
                        </pic:spPr>
                      </pic:pic>
                    </a:graphicData>
                  </a:graphic>
                </wp:inline>
              </w:drawing>
            </w:r>
          </w:p>
        </w:tc>
      </w:tr>
    </w:tbl>
    <w:p>
      <w:pPr>
        <w:pStyle w:val="93"/>
        <w:spacing w:before="120" w:after="120"/>
      </w:pPr>
      <w:r>
        <w:rPr>
          <w:rFonts w:hint="eastAsia"/>
        </w:rPr>
        <w:t>菜用黄麻（一级）</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9" w:hRule="atLeast"/>
        </w:trPr>
        <w:tc>
          <w:tcPr>
            <w:tcW w:w="9570" w:type="dxa"/>
            <w:tcBorders>
              <w:tl2br w:val="nil"/>
              <w:tr2bl w:val="nil"/>
            </w:tcBorders>
          </w:tcPr>
          <w:p>
            <w:pPr>
              <w:pStyle w:val="66"/>
              <w:ind w:firstLine="0" w:firstLineChars="0"/>
              <w:jc w:val="center"/>
            </w:pPr>
            <w:r>
              <w:drawing>
                <wp:inline distT="0" distB="0" distL="114300" distR="114300">
                  <wp:extent cx="5219700" cy="3001010"/>
                  <wp:effectExtent l="0" t="0" r="762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219700" cy="3001010"/>
                          </a:xfrm>
                          <a:prstGeom prst="rect">
                            <a:avLst/>
                          </a:prstGeom>
                          <a:noFill/>
                          <a:ln>
                            <a:noFill/>
                          </a:ln>
                        </pic:spPr>
                      </pic:pic>
                    </a:graphicData>
                  </a:graphic>
                </wp:inline>
              </w:drawing>
            </w:r>
          </w:p>
        </w:tc>
      </w:tr>
    </w:tbl>
    <w:p>
      <w:pPr>
        <w:pStyle w:val="93"/>
        <w:spacing w:before="120" w:after="120"/>
      </w:pPr>
      <w:r>
        <w:rPr>
          <w:rFonts w:hint="eastAsia"/>
        </w:rPr>
        <w:t>菜用黄麻（二级）</w:t>
      </w:r>
    </w:p>
    <w:p>
      <w:pPr>
        <w:pStyle w:val="66"/>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9" w:hRule="atLeast"/>
        </w:trPr>
        <w:tc>
          <w:tcPr>
            <w:tcW w:w="9570" w:type="dxa"/>
            <w:tcBorders>
              <w:tl2br w:val="nil"/>
              <w:tr2bl w:val="nil"/>
            </w:tcBorders>
          </w:tcPr>
          <w:p>
            <w:pPr>
              <w:pStyle w:val="66"/>
              <w:ind w:firstLine="0" w:firstLineChars="0"/>
              <w:jc w:val="center"/>
            </w:pPr>
            <w:r>
              <w:drawing>
                <wp:inline distT="0" distB="0" distL="114300" distR="114300">
                  <wp:extent cx="5219700" cy="3039110"/>
                  <wp:effectExtent l="0" t="0" r="762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19700" cy="3039110"/>
                          </a:xfrm>
                          <a:prstGeom prst="rect">
                            <a:avLst/>
                          </a:prstGeom>
                          <a:noFill/>
                          <a:ln>
                            <a:noFill/>
                          </a:ln>
                        </pic:spPr>
                      </pic:pic>
                    </a:graphicData>
                  </a:graphic>
                </wp:inline>
              </w:drawing>
            </w:r>
          </w:p>
        </w:tc>
      </w:tr>
    </w:tbl>
    <w:p>
      <w:pPr>
        <w:pStyle w:val="93"/>
        <w:spacing w:before="120" w:after="120"/>
        <w:sectPr>
          <w:pgSz w:w="11906" w:h="16838"/>
          <w:pgMar w:top="1928" w:right="1134" w:bottom="1134" w:left="1134" w:header="1418" w:footer="1134" w:gutter="284"/>
          <w:cols w:space="425" w:num="1"/>
          <w:formProt w:val="0"/>
          <w:docGrid w:linePitch="312" w:charSpace="0"/>
        </w:sectPr>
      </w:pPr>
      <w:r>
        <w:rPr>
          <w:rFonts w:hint="eastAsia"/>
        </w:rPr>
        <w:t>菜用黄麻（等外品）</w:t>
      </w:r>
    </w:p>
    <w:p>
      <w:pPr>
        <w:pStyle w:val="208"/>
        <w:rPr>
          <w:rFonts w:hint="eastAsia"/>
        </w:rPr>
      </w:pPr>
    </w:p>
    <w:p>
      <w:pPr>
        <w:pStyle w:val="209"/>
      </w:pPr>
    </w:p>
    <w:p>
      <w:pPr>
        <w:pStyle w:val="86"/>
        <w:spacing w:after="120"/>
      </w:pPr>
      <w:r>
        <w:br w:type="textWrapping"/>
      </w:r>
      <w:r>
        <w:rPr>
          <w:rFonts w:hint="eastAsia"/>
        </w:rPr>
        <w:t>（资料性）</w:t>
      </w:r>
      <w:r>
        <w:rPr>
          <w:rFonts w:hint="eastAsia"/>
        </w:rPr>
        <w:br w:type="textWrapping"/>
      </w:r>
      <w:r>
        <w:rPr>
          <w:rFonts w:hint="eastAsia"/>
        </w:rPr>
        <w:t>菜用黄麻采摘技术</w:t>
      </w:r>
    </w:p>
    <w:p>
      <w:pPr>
        <w:pStyle w:val="88"/>
        <w:spacing w:before="120" w:after="120"/>
      </w:pPr>
      <w:r>
        <w:rPr>
          <w:rFonts w:hint="eastAsia"/>
        </w:rPr>
        <w:t>采摘时间</w:t>
      </w:r>
    </w:p>
    <w:p>
      <w:pPr>
        <w:pStyle w:val="89"/>
        <w:spacing w:before="120" w:after="120"/>
      </w:pPr>
      <w:r>
        <w:rPr>
          <w:rFonts w:hint="eastAsia"/>
        </w:rPr>
        <w:t>采摘周期</w:t>
      </w:r>
    </w:p>
    <w:p>
      <w:pPr>
        <w:pStyle w:val="66"/>
        <w:ind w:firstLine="420"/>
      </w:pPr>
      <w:r>
        <w:rPr>
          <w:rFonts w:hint="eastAsia"/>
        </w:rPr>
        <w:t>菜用黄麻适宜采摘周期为每年</w:t>
      </w:r>
      <w:r>
        <w:t> 3 </w:t>
      </w:r>
      <w:r>
        <w:rPr>
          <w:rFonts w:hint="eastAsia"/>
        </w:rPr>
        <w:t>月至</w:t>
      </w:r>
      <w:r>
        <w:t> 10 </w:t>
      </w:r>
      <w:r>
        <w:rPr>
          <w:rFonts w:hint="eastAsia"/>
        </w:rPr>
        <w:t>月。进入秋季后，当植株生长进入开花期时，应终止采摘。</w:t>
      </w:r>
    </w:p>
    <w:p>
      <w:pPr>
        <w:pStyle w:val="89"/>
        <w:spacing w:before="120" w:after="120"/>
      </w:pPr>
      <w:r>
        <w:rPr>
          <w:rFonts w:hint="eastAsia"/>
        </w:rPr>
        <w:t>采摘时机</w:t>
      </w:r>
    </w:p>
    <w:p>
      <w:pPr>
        <w:pStyle w:val="66"/>
        <w:ind w:firstLine="420"/>
      </w:pPr>
      <w:r>
        <w:rPr>
          <w:rFonts w:hint="eastAsia"/>
        </w:rPr>
        <w:t>当植株高度高于</w:t>
      </w:r>
      <w:r>
        <w:t> 25 </w:t>
      </w:r>
      <w:r>
        <w:rPr>
          <w:rFonts w:hint="eastAsia"/>
        </w:rPr>
        <w:t>cm</w:t>
      </w:r>
      <w:r>
        <w:t> </w:t>
      </w:r>
      <w:r>
        <w:rPr>
          <w:rFonts w:hint="eastAsia"/>
        </w:rPr>
        <w:t>时，可进行首次采摘。此后每间隔</w:t>
      </w:r>
      <w:r>
        <w:t> 7 d </w:t>
      </w:r>
      <w:r>
        <w:rPr>
          <w:rFonts w:hint="eastAsia"/>
        </w:rPr>
        <w:t>～</w:t>
      </w:r>
      <w:r>
        <w:t> 10 d </w:t>
      </w:r>
      <w:r>
        <w:rPr>
          <w:rFonts w:hint="eastAsia"/>
        </w:rPr>
        <w:t>采收</w:t>
      </w:r>
      <w:r>
        <w:t> 1 </w:t>
      </w:r>
      <w:r>
        <w:rPr>
          <w:rFonts w:hint="eastAsia"/>
        </w:rPr>
        <w:t>次。整个采摘期可采摘</w:t>
      </w:r>
      <w:r>
        <w:t> </w:t>
      </w:r>
      <w:r>
        <w:rPr>
          <w:rFonts w:hint="eastAsia"/>
        </w:rPr>
        <w:t>10</w:t>
      </w:r>
      <w:r>
        <w:t> </w:t>
      </w:r>
      <w:r>
        <w:rPr>
          <w:rFonts w:hint="eastAsia"/>
        </w:rPr>
        <w:t>次至</w:t>
      </w:r>
      <w:r>
        <w:t> </w:t>
      </w:r>
      <w:r>
        <w:rPr>
          <w:rFonts w:hint="eastAsia"/>
        </w:rPr>
        <w:t>12</w:t>
      </w:r>
      <w:r>
        <w:t> </w:t>
      </w:r>
      <w:r>
        <w:rPr>
          <w:rFonts w:hint="eastAsia"/>
        </w:rPr>
        <w:t>次。</w:t>
      </w:r>
    </w:p>
    <w:p>
      <w:pPr>
        <w:pStyle w:val="89"/>
        <w:spacing w:before="120" w:after="120"/>
      </w:pPr>
      <w:r>
        <w:rPr>
          <w:rFonts w:hint="eastAsia"/>
        </w:rPr>
        <w:t>单日采摘时段</w:t>
      </w:r>
    </w:p>
    <w:p>
      <w:pPr>
        <w:pStyle w:val="66"/>
        <w:ind w:firstLine="420"/>
      </w:pPr>
      <w:r>
        <w:rPr>
          <w:rFonts w:hint="eastAsia"/>
        </w:rPr>
        <w:t>菜用黄麻每日适宜采摘时段为</w:t>
      </w:r>
      <w:r>
        <w:t> 00</w:t>
      </w:r>
      <w:r>
        <w:rPr>
          <w:rFonts w:hint="eastAsia"/>
        </w:rPr>
        <w:t>:00</w:t>
      </w:r>
      <w:bookmarkStart w:id="84" w:name="OLE_LINK13"/>
      <w:r>
        <w:t> </w:t>
      </w:r>
      <w:r>
        <w:rPr>
          <w:rFonts w:hint="eastAsia"/>
        </w:rPr>
        <w:t>～</w:t>
      </w:r>
      <w:bookmarkEnd w:id="84"/>
      <w:r>
        <w:t> </w:t>
      </w:r>
      <w:r>
        <w:rPr>
          <w:rFonts w:hint="eastAsia"/>
        </w:rPr>
        <w:t>6:00。</w:t>
      </w:r>
    </w:p>
    <w:p>
      <w:pPr>
        <w:pStyle w:val="88"/>
        <w:spacing w:before="120" w:after="120"/>
      </w:pPr>
      <w:r>
        <w:rPr>
          <w:rFonts w:hint="eastAsia"/>
        </w:rPr>
        <w:t>采摘方法</w:t>
      </w:r>
    </w:p>
    <w:p>
      <w:pPr>
        <w:pStyle w:val="66"/>
        <w:ind w:firstLine="420"/>
      </w:pPr>
      <w:r>
        <w:rPr>
          <w:rFonts w:hint="eastAsia" w:ascii="宋体" w:hAnsi="宋体" w:cs="宋体"/>
        </w:rPr>
        <w:t>采摘人员可用手采摘，也可用剪刀从嫩叶茎处剪下。</w:t>
      </w:r>
      <w:r>
        <w:rPr>
          <w:rFonts w:hint="eastAsia"/>
        </w:rPr>
        <w:t>同一批次采摘时，对达到适宜采摘标准的嫩茎叶应一次性采摘完毕，避免漏摘或延迟采摘。</w:t>
      </w:r>
    </w:p>
    <w:p>
      <w:pPr>
        <w:pStyle w:val="189"/>
      </w:pPr>
      <w:r>
        <w:rPr>
          <w:rFonts w:hint="eastAsia"/>
        </w:rPr>
        <w:t>符合采摘标准的嫩茎叶可根据生产计划分批次进行采摘。</w:t>
      </w:r>
    </w:p>
    <w:p>
      <w:pPr>
        <w:pStyle w:val="88"/>
        <w:spacing w:before="120" w:after="120"/>
      </w:pPr>
      <w:r>
        <w:rPr>
          <w:rFonts w:hint="eastAsia"/>
        </w:rPr>
        <w:t>喷水保湿</w:t>
      </w:r>
    </w:p>
    <w:p>
      <w:pPr>
        <w:pStyle w:val="66"/>
        <w:ind w:firstLine="420"/>
      </w:pPr>
      <w:r>
        <w:rPr>
          <w:rFonts w:hint="eastAsia"/>
        </w:rPr>
        <w:t>采摘后的菜用黄麻宜喷水保湿。</w:t>
      </w:r>
    </w:p>
    <w:p>
      <w:pPr>
        <w:pStyle w:val="88"/>
        <w:spacing w:before="120" w:after="120"/>
      </w:pPr>
      <w:r>
        <w:rPr>
          <w:rFonts w:hint="eastAsia"/>
        </w:rPr>
        <w:t>采摘标准</w:t>
      </w:r>
    </w:p>
    <w:p>
      <w:pPr>
        <w:pStyle w:val="66"/>
        <w:ind w:firstLine="420"/>
      </w:pPr>
      <w:r>
        <w:rPr>
          <w:rFonts w:hint="eastAsia"/>
        </w:rPr>
        <w:t>按菜用黄麻特级、一级、二级及等外品鲜叶标准进行采摘。</w:t>
      </w:r>
    </w:p>
    <w:p>
      <w:pPr>
        <w:pStyle w:val="88"/>
        <w:spacing w:before="120" w:after="120"/>
      </w:pPr>
      <w:r>
        <w:rPr>
          <w:rFonts w:hint="eastAsia"/>
        </w:rPr>
        <w:t>贮存、运输</w:t>
      </w:r>
    </w:p>
    <w:p>
      <w:pPr>
        <w:pStyle w:val="89"/>
        <w:spacing w:before="120" w:after="120"/>
        <w:rPr>
          <w:rFonts w:hint="eastAsia" w:ascii="宋体" w:hAnsi="宋体" w:eastAsia="宋体" w:cs="宋体"/>
        </w:rPr>
      </w:pPr>
      <w:r>
        <w:rPr>
          <w:rFonts w:hint="eastAsia" w:ascii="宋体" w:hAnsi="宋体" w:eastAsia="宋体" w:cs="宋体"/>
        </w:rPr>
        <w:t>采摘后的菜用黄麻应使用清洁卫生、透气良好的篮篓进行盛装，不得挤压，不得与有异味物品、农业投入品（如农药、化肥）及</w:t>
      </w:r>
      <w:r>
        <w:rPr>
          <w:rFonts w:hint="eastAsia" w:ascii="宋体" w:hAnsi="宋体" w:eastAsia="宋体" w:cs="宋体"/>
          <w:lang w:val="en-US" w:eastAsia="zh-CN"/>
        </w:rPr>
        <w:t>其他</w:t>
      </w:r>
      <w:r>
        <w:rPr>
          <w:rFonts w:hint="eastAsia" w:ascii="宋体" w:hAnsi="宋体" w:eastAsia="宋体" w:cs="宋体"/>
        </w:rPr>
        <w:t>有毒有害物质混装。在运输前，应放置在洁净、阴凉的地方。</w:t>
      </w:r>
    </w:p>
    <w:p>
      <w:pPr>
        <w:pStyle w:val="89"/>
        <w:spacing w:before="120" w:after="120"/>
        <w:rPr>
          <w:rFonts w:hint="eastAsia" w:ascii="宋体" w:hAnsi="宋体" w:eastAsia="宋体" w:cs="宋体"/>
        </w:rPr>
      </w:pPr>
      <w:r>
        <w:rPr>
          <w:rFonts w:hint="eastAsia" w:ascii="宋体" w:hAnsi="宋体" w:eastAsia="宋体" w:cs="宋体"/>
        </w:rPr>
        <w:t>菜用黄麻采摘后，应及时运送至分拣点，或送至冷库进行短期保鲜。运输过程中应轻装、轻卸，避免剧烈震动、撞击和日晒雨淋。</w:t>
      </w:r>
      <w:bookmarkEnd w:id="83"/>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瀹嬩綋">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1"/>
      <w:rPr>
        <w:rFonts w:hint="eastAsia"/>
      </w:rPr>
    </w:pPr>
    <w:r>
      <w:fldChar w:fldCharType="begin"/>
    </w:r>
    <w:r>
      <w:instrText xml:space="preserve"> STYLEREF  标准文件_文件编号  \* MERGEFORMAT </w:instrText>
    </w:r>
    <w:r>
      <w:fldChar w:fldCharType="separate"/>
    </w:r>
    <w:r>
      <w:t>T/STBZ XXXX—2025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fldChar w:fldCharType="begin"/>
    </w:r>
    <w:r>
      <w:instrText xml:space="preserve"> STYLEREF  标准文件_文件编号  \* MERGEFORMAT </w:instrText>
    </w:r>
    <w:r>
      <w:fldChar w:fldCharType="separate"/>
    </w:r>
    <w:r>
      <w:t>T/STBZ XXXX—2025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7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9"/>
      <w:suff w:val="nothing"/>
      <w:lvlText w:val="%1%2.%3　"/>
      <w:lvlJc w:val="left"/>
      <w:pPr>
        <w:ind w:left="0" w:firstLine="0"/>
      </w:pPr>
    </w:lvl>
    <w:lvl w:ilvl="3" w:tentative="0">
      <w:start w:val="1"/>
      <w:numFmt w:val="decimal"/>
      <w:pStyle w:val="128"/>
      <w:suff w:val="nothing"/>
      <w:lvlText w:val="%1%2.%3.%4　"/>
      <w:lvlJc w:val="left"/>
      <w:pPr>
        <w:ind w:left="0" w:firstLine="0"/>
      </w:pPr>
    </w:lvl>
    <w:lvl w:ilvl="4" w:tentative="0">
      <w:start w:val="1"/>
      <w:numFmt w:val="decimal"/>
      <w:pStyle w:val="163"/>
      <w:suff w:val="nothing"/>
      <w:lvlText w:val="%1%2.%3.%4.%5　"/>
      <w:lvlJc w:val="left"/>
      <w:pPr>
        <w:ind w:left="0" w:firstLine="0"/>
      </w:pPr>
    </w:lvl>
    <w:lvl w:ilvl="5" w:tentative="0">
      <w:start w:val="1"/>
      <w:numFmt w:val="decimal"/>
      <w:pStyle w:val="165"/>
      <w:suff w:val="nothing"/>
      <w:lvlText w:val="%1%2.%3.%4.%5.%6　"/>
      <w:lvlJc w:val="left"/>
      <w:pPr>
        <w:ind w:left="0" w:firstLine="0"/>
      </w:pPr>
    </w:lvl>
    <w:lvl w:ilvl="6" w:tentative="0">
      <w:start w:val="1"/>
      <w:numFmt w:val="decimal"/>
      <w:pStyle w:val="16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9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9"/>
      <w:lvlText w:val="%1"/>
      <w:lvlJc w:val="left"/>
      <w:pPr>
        <w:ind w:left="425" w:hanging="425"/>
      </w:pPr>
      <w:rPr>
        <w:rFonts w:hint="eastAsia"/>
      </w:rPr>
    </w:lvl>
    <w:lvl w:ilvl="1" w:tentative="0">
      <w:start w:val="1"/>
      <w:numFmt w:val="decimal"/>
      <w:pStyle w:val="210"/>
      <w:suff w:val="nothing"/>
      <w:lvlText w:val="%10.%2 "/>
      <w:lvlJc w:val="left"/>
      <w:pPr>
        <w:ind w:left="0" w:firstLine="0"/>
      </w:pPr>
      <w:rPr>
        <w:rFonts w:hint="eastAsia" w:ascii="黑体" w:eastAsia="黑体" w:hAnsiTheme="minorHAnsi"/>
        <w:b w:val="0"/>
        <w:i w:val="0"/>
        <w:sz w:val="21"/>
      </w:rPr>
    </w:lvl>
    <w:lvl w:ilvl="2" w:tentative="0">
      <w:start w:val="1"/>
      <w:numFmt w:val="decimal"/>
      <w:pStyle w:val="211"/>
      <w:suff w:val="nothing"/>
      <w:lvlText w:val="%10.%2.%3 "/>
      <w:lvlJc w:val="left"/>
      <w:pPr>
        <w:ind w:left="0" w:firstLine="0"/>
      </w:pPr>
      <w:rPr>
        <w:rFonts w:hint="eastAsia" w:ascii="黑体" w:eastAsia="黑体" w:hAnsiTheme="minorHAnsi"/>
        <w:b w:val="0"/>
        <w:i w:val="0"/>
        <w:sz w:val="21"/>
      </w:rPr>
    </w:lvl>
    <w:lvl w:ilvl="3" w:tentative="0">
      <w:start w:val="1"/>
      <w:numFmt w:val="decimal"/>
      <w:pStyle w:val="212"/>
      <w:suff w:val="nothing"/>
      <w:lvlText w:val="%10.%2.%3.%4 "/>
      <w:lvlJc w:val="left"/>
      <w:pPr>
        <w:ind w:left="0" w:firstLine="0"/>
      </w:pPr>
      <w:rPr>
        <w:rFonts w:hint="eastAsia" w:ascii="黑体" w:eastAsia="黑体" w:hAnsiTheme="minorHAnsi"/>
        <w:b w:val="0"/>
        <w:i w:val="0"/>
        <w:sz w:val="21"/>
      </w:rPr>
    </w:lvl>
    <w:lvl w:ilvl="4" w:tentative="0">
      <w:start w:val="1"/>
      <w:numFmt w:val="decimal"/>
      <w:pStyle w:val="213"/>
      <w:suff w:val="nothing"/>
      <w:lvlText w:val="%10.%2.%3.%4.%5 "/>
      <w:lvlJc w:val="left"/>
      <w:pPr>
        <w:ind w:left="0" w:firstLine="0"/>
      </w:pPr>
      <w:rPr>
        <w:rFonts w:hint="eastAsia" w:ascii="黑体" w:eastAsia="黑体" w:hAnsiTheme="minorHAnsi"/>
        <w:b w:val="0"/>
        <w:i w:val="0"/>
        <w:sz w:val="21"/>
      </w:rPr>
    </w:lvl>
    <w:lvl w:ilvl="5" w:tentative="0">
      <w:start w:val="1"/>
      <w:numFmt w:val="decimal"/>
      <w:pStyle w:val="21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9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2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9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10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4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7"/>
      <w:lvlText w:val=""/>
      <w:lvlJc w:val="left"/>
      <w:pPr>
        <w:ind w:left="851" w:hanging="431"/>
      </w:pPr>
      <w:rPr>
        <w:rFonts w:hint="default" w:ascii="Symbol" w:hAnsi="Symbol"/>
        <w:sz w:val="21"/>
      </w:rPr>
    </w:lvl>
    <w:lvl w:ilvl="2" w:tentative="0">
      <w:start w:val="1"/>
      <w:numFmt w:val="bullet"/>
      <w:pStyle w:val="18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1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84"/>
      <w:lvlText w:val="%1)"/>
      <w:lvlJc w:val="left"/>
      <w:pPr>
        <w:tabs>
          <w:tab w:val="left" w:pos="851"/>
        </w:tabs>
        <w:ind w:left="851" w:hanging="426"/>
      </w:pPr>
      <w:rPr>
        <w:rFonts w:hint="eastAsia" w:ascii="宋体" w:hAnsi="Times New Roman" w:eastAsia="宋体"/>
        <w:sz w:val="21"/>
      </w:rPr>
    </w:lvl>
    <w:lvl w:ilvl="1" w:tentative="0">
      <w:start w:val="1"/>
      <w:numFmt w:val="decimal"/>
      <w:pStyle w:val="119"/>
      <w:lvlText w:val="%2)"/>
      <w:lvlJc w:val="left"/>
      <w:pPr>
        <w:tabs>
          <w:tab w:val="left" w:pos="1276"/>
        </w:tabs>
        <w:ind w:left="1276" w:hanging="425"/>
      </w:pPr>
      <w:rPr>
        <w:rFonts w:hint="eastAsia" w:ascii="宋体" w:hAnsi="Times New Roman" w:eastAsia="宋体"/>
        <w:sz w:val="21"/>
      </w:rPr>
    </w:lvl>
    <w:lvl w:ilvl="2" w:tentative="0">
      <w:start w:val="1"/>
      <w:numFmt w:val="decimal"/>
      <w:pStyle w:val="12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8"/>
      <w:lvlText w:val="%1"/>
      <w:lvlJc w:val="left"/>
      <w:pPr>
        <w:ind w:left="420" w:hanging="420"/>
      </w:pPr>
      <w:rPr>
        <w:rFonts w:hint="eastAsia"/>
      </w:rPr>
    </w:lvl>
    <w:lvl w:ilvl="1" w:tentative="0">
      <w:start w:val="1"/>
      <w:numFmt w:val="decimal"/>
      <w:pStyle w:val="93"/>
      <w:suff w:val="space"/>
      <w:lvlText w:val="图%1.%2 "/>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9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10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2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9"/>
      <w:suff w:val="space"/>
      <w:lvlText w:val="%1"/>
      <w:lvlJc w:val="left"/>
      <w:pPr>
        <w:ind w:left="425" w:hanging="425"/>
      </w:pPr>
      <w:rPr>
        <w:rFonts w:hint="eastAsia"/>
      </w:rPr>
    </w:lvl>
    <w:lvl w:ilvl="1" w:tentative="0">
      <w:start w:val="1"/>
      <w:numFmt w:val="decimal"/>
      <w:pStyle w:val="87"/>
      <w:suff w:val="space"/>
      <w:lvlText w:val="表%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2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2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6"/>
      <w:suff w:val="nothing"/>
      <w:lvlText w:val="附录%1"/>
      <w:lvlJc w:val="left"/>
      <w:pPr>
        <w:ind w:left="0" w:firstLine="0"/>
      </w:pPr>
      <w:rPr>
        <w:rFonts w:hint="eastAsia"/>
        <w:spacing w:val="100"/>
      </w:rPr>
    </w:lvl>
    <w:lvl w:ilvl="1" w:tentative="0">
      <w:start w:val="1"/>
      <w:numFmt w:val="decimal"/>
      <w:pStyle w:val="88"/>
      <w:suff w:val="nothing"/>
      <w:lvlText w:val="%1.%2　"/>
      <w:lvlJc w:val="left"/>
      <w:pPr>
        <w:ind w:left="0" w:firstLine="0"/>
      </w:pPr>
      <w:rPr>
        <w:rFonts w:hint="eastAsia" w:ascii="黑体" w:eastAsia="黑体"/>
        <w:b w:val="0"/>
        <w:i w:val="0"/>
        <w:sz w:val="21"/>
      </w:rPr>
    </w:lvl>
    <w:lvl w:ilvl="2" w:tentative="0">
      <w:start w:val="1"/>
      <w:numFmt w:val="decimal"/>
      <w:pStyle w:val="89"/>
      <w:suff w:val="nothing"/>
      <w:lvlText w:val="%1.%2.%3　"/>
      <w:lvlJc w:val="left"/>
      <w:pPr>
        <w:ind w:left="0" w:firstLine="0"/>
      </w:pPr>
      <w:rPr>
        <w:rFonts w:hint="eastAsia" w:ascii="黑体" w:eastAsia="黑体"/>
        <w:b w:val="0"/>
        <w:i w:val="0"/>
        <w:sz w:val="21"/>
      </w:rPr>
    </w:lvl>
    <w:lvl w:ilvl="3" w:tentative="0">
      <w:start w:val="1"/>
      <w:numFmt w:val="decimal"/>
      <w:pStyle w:val="91"/>
      <w:suff w:val="nothing"/>
      <w:lvlText w:val="%1.%2.%3.%4　"/>
      <w:lvlJc w:val="left"/>
      <w:pPr>
        <w:ind w:left="0" w:firstLine="0"/>
      </w:pPr>
      <w:rPr>
        <w:rFonts w:hint="eastAsia" w:ascii="黑体" w:eastAsia="黑体"/>
        <w:b w:val="0"/>
        <w:i w:val="0"/>
        <w:sz w:val="21"/>
      </w:rPr>
    </w:lvl>
    <w:lvl w:ilvl="4" w:tentative="0">
      <w:start w:val="1"/>
      <w:numFmt w:val="decimal"/>
      <w:pStyle w:val="92"/>
      <w:suff w:val="nothing"/>
      <w:lvlText w:val="%1.%2.%3.%4.%5　"/>
      <w:lvlJc w:val="left"/>
      <w:pPr>
        <w:ind w:left="0" w:firstLine="0"/>
      </w:pPr>
      <w:rPr>
        <w:rFonts w:hint="eastAsia" w:ascii="黑体" w:eastAsia="黑体"/>
        <w:b w:val="0"/>
        <w:i w:val="0"/>
        <w:sz w:val="21"/>
      </w:rPr>
    </w:lvl>
    <w:lvl w:ilvl="5" w:tentative="0">
      <w:start w:val="1"/>
      <w:numFmt w:val="decimal"/>
      <w:pStyle w:val="9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8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62"/>
      <w:suff w:val="nothing"/>
      <w:lvlText w:val="%1"/>
      <w:lvlJc w:val="left"/>
      <w:pPr>
        <w:ind w:left="0" w:firstLine="0"/>
      </w:pPr>
      <w:rPr>
        <w:rFonts w:hint="eastAsia"/>
      </w:rPr>
    </w:lvl>
    <w:lvl w:ilvl="1" w:tentative="0">
      <w:start w:val="1"/>
      <w:numFmt w:val="decimal"/>
      <w:pStyle w:val="114"/>
      <w:suff w:val="nothing"/>
      <w:lvlText w:val="%1%2　"/>
      <w:lvlJc w:val="left"/>
      <w:pPr>
        <w:ind w:left="0" w:firstLine="0"/>
      </w:pPr>
      <w:rPr>
        <w:rFonts w:hint="eastAsia" w:ascii="黑体" w:eastAsia="黑体"/>
        <w:b w:val="0"/>
        <w:i w:val="0"/>
        <w:sz w:val="21"/>
      </w:rPr>
    </w:lvl>
    <w:lvl w:ilvl="2" w:tentative="0">
      <w:start w:val="1"/>
      <w:numFmt w:val="decimal"/>
      <w:pStyle w:val="11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5"/>
      <w:suff w:val="nothing"/>
      <w:lvlText w:val="%1%2.%3.%4　"/>
      <w:lvlJc w:val="left"/>
      <w:pPr>
        <w:ind w:left="0" w:firstLine="0"/>
      </w:pPr>
      <w:rPr>
        <w:rFonts w:hint="eastAsia" w:ascii="黑体" w:eastAsia="黑体"/>
        <w:b w:val="0"/>
        <w:i w:val="0"/>
        <w:sz w:val="21"/>
      </w:rPr>
    </w:lvl>
    <w:lvl w:ilvl="4" w:tentative="0">
      <w:start w:val="1"/>
      <w:numFmt w:val="decimal"/>
      <w:pStyle w:val="104"/>
      <w:suff w:val="nothing"/>
      <w:lvlText w:val="%1%2.%3.%4.%5　"/>
      <w:lvlJc w:val="left"/>
      <w:pPr>
        <w:ind w:left="0" w:firstLine="0"/>
      </w:pPr>
      <w:rPr>
        <w:rFonts w:hint="eastAsia" w:ascii="黑体" w:eastAsia="黑体"/>
        <w:b w:val="0"/>
        <w:i w:val="0"/>
        <w:sz w:val="21"/>
      </w:rPr>
    </w:lvl>
    <w:lvl w:ilvl="5" w:tentative="0">
      <w:start w:val="1"/>
      <w:numFmt w:val="decimal"/>
      <w:pStyle w:val="108"/>
      <w:suff w:val="nothing"/>
      <w:lvlText w:val="%1%2.%3.%4.%5.%6　"/>
      <w:lvlJc w:val="left"/>
      <w:pPr>
        <w:ind w:left="0" w:firstLine="0"/>
      </w:pPr>
      <w:rPr>
        <w:rFonts w:hint="eastAsia" w:ascii="黑体" w:eastAsia="黑体"/>
        <w:b w:val="0"/>
        <w:i w:val="0"/>
        <w:sz w:val="21"/>
      </w:rPr>
    </w:lvl>
    <w:lvl w:ilvl="6" w:tentative="0">
      <w:start w:val="1"/>
      <w:numFmt w:val="decimal"/>
      <w:pStyle w:val="11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enforcement="1" w:cryptProviderType="rsaFull" w:cryptAlgorithmClass="hash" w:cryptAlgorithmType="typeAny" w:cryptAlgorithmSid="4" w:cryptSpinCount="0" w:hash="e9RnTAABWufGO4s/oTP3iTg/oSg=" w:salt="X9PX6GNDkAoBQUznu56v4A=="/>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0A"/>
    <w:rsid w:val="00000A94"/>
    <w:rsid w:val="00001972"/>
    <w:rsid w:val="00001D9A"/>
    <w:rsid w:val="00002D44"/>
    <w:rsid w:val="00007B3A"/>
    <w:rsid w:val="000107E0"/>
    <w:rsid w:val="00011FDE"/>
    <w:rsid w:val="00012E39"/>
    <w:rsid w:val="00012FFD"/>
    <w:rsid w:val="00013E0B"/>
    <w:rsid w:val="00014162"/>
    <w:rsid w:val="00014340"/>
    <w:rsid w:val="000153C5"/>
    <w:rsid w:val="00016A9C"/>
    <w:rsid w:val="00016C38"/>
    <w:rsid w:val="00022184"/>
    <w:rsid w:val="00022762"/>
    <w:rsid w:val="000238E0"/>
    <w:rsid w:val="000249DB"/>
    <w:rsid w:val="0002595E"/>
    <w:rsid w:val="000303C3"/>
    <w:rsid w:val="000331D3"/>
    <w:rsid w:val="000346A5"/>
    <w:rsid w:val="0003522E"/>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57455"/>
    <w:rsid w:val="00060C2E"/>
    <w:rsid w:val="00061033"/>
    <w:rsid w:val="000619E9"/>
    <w:rsid w:val="000622D4"/>
    <w:rsid w:val="0006357D"/>
    <w:rsid w:val="00067F1E"/>
    <w:rsid w:val="00071CC0"/>
    <w:rsid w:val="00071CFC"/>
    <w:rsid w:val="00073C8C"/>
    <w:rsid w:val="00077B64"/>
    <w:rsid w:val="00080A1C"/>
    <w:rsid w:val="00080E5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27C4"/>
    <w:rsid w:val="000B3CDA"/>
    <w:rsid w:val="000B6A0B"/>
    <w:rsid w:val="000C0F6C"/>
    <w:rsid w:val="000C11DB"/>
    <w:rsid w:val="000C1492"/>
    <w:rsid w:val="000C2FBD"/>
    <w:rsid w:val="000C4887"/>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1AA"/>
    <w:rsid w:val="00124E4F"/>
    <w:rsid w:val="001260B7"/>
    <w:rsid w:val="001265CB"/>
    <w:rsid w:val="00127C70"/>
    <w:rsid w:val="001321C6"/>
    <w:rsid w:val="001325C4"/>
    <w:rsid w:val="00133010"/>
    <w:rsid w:val="001338EE"/>
    <w:rsid w:val="00133AAE"/>
    <w:rsid w:val="00135323"/>
    <w:rsid w:val="001356C4"/>
    <w:rsid w:val="00137565"/>
    <w:rsid w:val="001377D8"/>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2A27"/>
    <w:rsid w:val="0017340B"/>
    <w:rsid w:val="00173FB1"/>
    <w:rsid w:val="00176DFD"/>
    <w:rsid w:val="001852C9"/>
    <w:rsid w:val="00187127"/>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4BD"/>
    <w:rsid w:val="001F2508"/>
    <w:rsid w:val="001F4816"/>
    <w:rsid w:val="001F69B4"/>
    <w:rsid w:val="001F77C7"/>
    <w:rsid w:val="00200183"/>
    <w:rsid w:val="00200333"/>
    <w:rsid w:val="0020107D"/>
    <w:rsid w:val="00202AA4"/>
    <w:rsid w:val="002031F7"/>
    <w:rsid w:val="002040E6"/>
    <w:rsid w:val="0020527B"/>
    <w:rsid w:val="00205F2C"/>
    <w:rsid w:val="00206B51"/>
    <w:rsid w:val="00210B15"/>
    <w:rsid w:val="002142EA"/>
    <w:rsid w:val="00215ADD"/>
    <w:rsid w:val="002204BB"/>
    <w:rsid w:val="00221B79"/>
    <w:rsid w:val="00221C6B"/>
    <w:rsid w:val="002253A1"/>
    <w:rsid w:val="00225CF8"/>
    <w:rsid w:val="00227017"/>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5374"/>
    <w:rsid w:val="00266EEB"/>
    <w:rsid w:val="00267EF4"/>
    <w:rsid w:val="00270CB8"/>
    <w:rsid w:val="00272B08"/>
    <w:rsid w:val="00281BB8"/>
    <w:rsid w:val="00281E9E"/>
    <w:rsid w:val="00282405"/>
    <w:rsid w:val="00285170"/>
    <w:rsid w:val="00285361"/>
    <w:rsid w:val="002915CF"/>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33C7"/>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57E7"/>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6C4"/>
    <w:rsid w:val="003A3D9C"/>
    <w:rsid w:val="003A4077"/>
    <w:rsid w:val="003A4AA7"/>
    <w:rsid w:val="003B09AD"/>
    <w:rsid w:val="003B1F18"/>
    <w:rsid w:val="003B425E"/>
    <w:rsid w:val="003B5BF0"/>
    <w:rsid w:val="003B60BF"/>
    <w:rsid w:val="003B6BE3"/>
    <w:rsid w:val="003C010C"/>
    <w:rsid w:val="003C0A6C"/>
    <w:rsid w:val="003C14F8"/>
    <w:rsid w:val="003C5A43"/>
    <w:rsid w:val="003D0519"/>
    <w:rsid w:val="003D0FF6"/>
    <w:rsid w:val="003D262C"/>
    <w:rsid w:val="003D6D61"/>
    <w:rsid w:val="003D7A8B"/>
    <w:rsid w:val="003E019F"/>
    <w:rsid w:val="003E091D"/>
    <w:rsid w:val="003E1C53"/>
    <w:rsid w:val="003E2A69"/>
    <w:rsid w:val="003E2D49"/>
    <w:rsid w:val="003E2FD4"/>
    <w:rsid w:val="003E49F6"/>
    <w:rsid w:val="003E660F"/>
    <w:rsid w:val="003F0841"/>
    <w:rsid w:val="003F208D"/>
    <w:rsid w:val="003F23D3"/>
    <w:rsid w:val="003F3F08"/>
    <w:rsid w:val="003F49F1"/>
    <w:rsid w:val="003F6272"/>
    <w:rsid w:val="00400E72"/>
    <w:rsid w:val="00401400"/>
    <w:rsid w:val="00404869"/>
    <w:rsid w:val="00405884"/>
    <w:rsid w:val="004066D0"/>
    <w:rsid w:val="00407D39"/>
    <w:rsid w:val="0041477A"/>
    <w:rsid w:val="004167A3"/>
    <w:rsid w:val="00426033"/>
    <w:rsid w:val="00432DAA"/>
    <w:rsid w:val="00434305"/>
    <w:rsid w:val="00435DF7"/>
    <w:rsid w:val="0043741A"/>
    <w:rsid w:val="0044083F"/>
    <w:rsid w:val="00441AE7"/>
    <w:rsid w:val="00445574"/>
    <w:rsid w:val="00445C78"/>
    <w:rsid w:val="004467FB"/>
    <w:rsid w:val="00447AB5"/>
    <w:rsid w:val="00452D6B"/>
    <w:rsid w:val="00454484"/>
    <w:rsid w:val="0045517B"/>
    <w:rsid w:val="00461B57"/>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4B57"/>
    <w:rsid w:val="004A56F9"/>
    <w:rsid w:val="004A63FA"/>
    <w:rsid w:val="004A6A3D"/>
    <w:rsid w:val="004B0272"/>
    <w:rsid w:val="004B1A24"/>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4A5D"/>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ECF"/>
    <w:rsid w:val="00523F95"/>
    <w:rsid w:val="00524D65"/>
    <w:rsid w:val="00525B16"/>
    <w:rsid w:val="00533D04"/>
    <w:rsid w:val="00534804"/>
    <w:rsid w:val="00534BDF"/>
    <w:rsid w:val="005354EA"/>
    <w:rsid w:val="0053585F"/>
    <w:rsid w:val="00535EC4"/>
    <w:rsid w:val="00535ED9"/>
    <w:rsid w:val="0053692B"/>
    <w:rsid w:val="005415D5"/>
    <w:rsid w:val="00541853"/>
    <w:rsid w:val="00543BDA"/>
    <w:rsid w:val="005441CC"/>
    <w:rsid w:val="005479DA"/>
    <w:rsid w:val="00547BCC"/>
    <w:rsid w:val="0055013B"/>
    <w:rsid w:val="00551F6F"/>
    <w:rsid w:val="00555044"/>
    <w:rsid w:val="00561475"/>
    <w:rsid w:val="00562308"/>
    <w:rsid w:val="0056487B"/>
    <w:rsid w:val="00564FB9"/>
    <w:rsid w:val="00572921"/>
    <w:rsid w:val="00573D9E"/>
    <w:rsid w:val="005801E3"/>
    <w:rsid w:val="00581802"/>
    <w:rsid w:val="005836A8"/>
    <w:rsid w:val="0058409C"/>
    <w:rsid w:val="00584262"/>
    <w:rsid w:val="00586630"/>
    <w:rsid w:val="0058665C"/>
    <w:rsid w:val="00587ADD"/>
    <w:rsid w:val="00593A49"/>
    <w:rsid w:val="00596160"/>
    <w:rsid w:val="005966E2"/>
    <w:rsid w:val="00597007"/>
    <w:rsid w:val="005A0966"/>
    <w:rsid w:val="005A11B7"/>
    <w:rsid w:val="005A260B"/>
    <w:rsid w:val="005A4A1B"/>
    <w:rsid w:val="005A4BA9"/>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6419"/>
    <w:rsid w:val="00606FCF"/>
    <w:rsid w:val="00607D29"/>
    <w:rsid w:val="00612952"/>
    <w:rsid w:val="00614CC1"/>
    <w:rsid w:val="00615A9D"/>
    <w:rsid w:val="00617387"/>
    <w:rsid w:val="006205D6"/>
    <w:rsid w:val="006252D8"/>
    <w:rsid w:val="006259BC"/>
    <w:rsid w:val="0062636B"/>
    <w:rsid w:val="00632182"/>
    <w:rsid w:val="00632AE0"/>
    <w:rsid w:val="00633C17"/>
    <w:rsid w:val="00634D9E"/>
    <w:rsid w:val="00634E1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15EC"/>
    <w:rsid w:val="006A25E5"/>
    <w:rsid w:val="006A2B46"/>
    <w:rsid w:val="006A336D"/>
    <w:rsid w:val="006A37B9"/>
    <w:rsid w:val="006A3D27"/>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8E0"/>
    <w:rsid w:val="006F03A8"/>
    <w:rsid w:val="006F2ACA"/>
    <w:rsid w:val="006F2ADC"/>
    <w:rsid w:val="006F2BFE"/>
    <w:rsid w:val="006F31E9"/>
    <w:rsid w:val="006F6284"/>
    <w:rsid w:val="006F7FCF"/>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03DA"/>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0CF8"/>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316"/>
    <w:rsid w:val="008104F5"/>
    <w:rsid w:val="00811072"/>
    <w:rsid w:val="00811369"/>
    <w:rsid w:val="00815419"/>
    <w:rsid w:val="008163C8"/>
    <w:rsid w:val="008164A1"/>
    <w:rsid w:val="00817325"/>
    <w:rsid w:val="008209E6"/>
    <w:rsid w:val="00821D19"/>
    <w:rsid w:val="00821F33"/>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06"/>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3A27"/>
    <w:rsid w:val="008E4BB6"/>
    <w:rsid w:val="008E5518"/>
    <w:rsid w:val="008E6A84"/>
    <w:rsid w:val="008F0CDC"/>
    <w:rsid w:val="008F17A3"/>
    <w:rsid w:val="008F1ED3"/>
    <w:rsid w:val="008F38D9"/>
    <w:rsid w:val="008F4C29"/>
    <w:rsid w:val="008F70BD"/>
    <w:rsid w:val="008F788F"/>
    <w:rsid w:val="008F7EA2"/>
    <w:rsid w:val="00901C67"/>
    <w:rsid w:val="00902722"/>
    <w:rsid w:val="009027BC"/>
    <w:rsid w:val="009062E6"/>
    <w:rsid w:val="00911BE5"/>
    <w:rsid w:val="00913CA9"/>
    <w:rsid w:val="009145AE"/>
    <w:rsid w:val="009146CE"/>
    <w:rsid w:val="00914CA7"/>
    <w:rsid w:val="00915C3E"/>
    <w:rsid w:val="009161A8"/>
    <w:rsid w:val="009244E3"/>
    <w:rsid w:val="009245AE"/>
    <w:rsid w:val="009245F5"/>
    <w:rsid w:val="009249EC"/>
    <w:rsid w:val="009273B3"/>
    <w:rsid w:val="0093031B"/>
    <w:rsid w:val="009305B5"/>
    <w:rsid w:val="009378DD"/>
    <w:rsid w:val="009429D5"/>
    <w:rsid w:val="00942BF1"/>
    <w:rsid w:val="00945180"/>
    <w:rsid w:val="00945428"/>
    <w:rsid w:val="0094607B"/>
    <w:rsid w:val="00953604"/>
    <w:rsid w:val="0095496B"/>
    <w:rsid w:val="0095609D"/>
    <w:rsid w:val="00960F1E"/>
    <w:rsid w:val="009610DC"/>
    <w:rsid w:val="00961490"/>
    <w:rsid w:val="0096381A"/>
    <w:rsid w:val="00965E04"/>
    <w:rsid w:val="00966175"/>
    <w:rsid w:val="009674AD"/>
    <w:rsid w:val="00970CDC"/>
    <w:rsid w:val="00975727"/>
    <w:rsid w:val="00977010"/>
    <w:rsid w:val="00977D02"/>
    <w:rsid w:val="00977FF9"/>
    <w:rsid w:val="009809BB"/>
    <w:rsid w:val="0098364B"/>
    <w:rsid w:val="00990735"/>
    <w:rsid w:val="009908A3"/>
    <w:rsid w:val="009911AF"/>
    <w:rsid w:val="00991875"/>
    <w:rsid w:val="00991F92"/>
    <w:rsid w:val="00992985"/>
    <w:rsid w:val="00993889"/>
    <w:rsid w:val="0099551B"/>
    <w:rsid w:val="00996B6A"/>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AAF"/>
    <w:rsid w:val="009D4C5B"/>
    <w:rsid w:val="009D50D2"/>
    <w:rsid w:val="009D6BCA"/>
    <w:rsid w:val="009E0F62"/>
    <w:rsid w:val="009E3237"/>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5DAE"/>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47EF4"/>
    <w:rsid w:val="00A55BD6"/>
    <w:rsid w:val="00A55D50"/>
    <w:rsid w:val="00A5644B"/>
    <w:rsid w:val="00A57142"/>
    <w:rsid w:val="00A648CD"/>
    <w:rsid w:val="00A6537A"/>
    <w:rsid w:val="00A67866"/>
    <w:rsid w:val="00A70B07"/>
    <w:rsid w:val="00A721E9"/>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6D00"/>
    <w:rsid w:val="00AB7129"/>
    <w:rsid w:val="00AC27A6"/>
    <w:rsid w:val="00AC30F7"/>
    <w:rsid w:val="00AC3A5A"/>
    <w:rsid w:val="00AC4D95"/>
    <w:rsid w:val="00AC5DF4"/>
    <w:rsid w:val="00AD0AEF"/>
    <w:rsid w:val="00AD11B7"/>
    <w:rsid w:val="00AD1A94"/>
    <w:rsid w:val="00AD1C05"/>
    <w:rsid w:val="00AD4126"/>
    <w:rsid w:val="00AD421C"/>
    <w:rsid w:val="00AD44FA"/>
    <w:rsid w:val="00AD5DC6"/>
    <w:rsid w:val="00AE070A"/>
    <w:rsid w:val="00AE101C"/>
    <w:rsid w:val="00AE2A69"/>
    <w:rsid w:val="00AE37E5"/>
    <w:rsid w:val="00AE5EB4"/>
    <w:rsid w:val="00AF0C18"/>
    <w:rsid w:val="00AF47C5"/>
    <w:rsid w:val="00AF5398"/>
    <w:rsid w:val="00B049AF"/>
    <w:rsid w:val="00B07242"/>
    <w:rsid w:val="00B1021A"/>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55CE"/>
    <w:rsid w:val="00B35F66"/>
    <w:rsid w:val="00B378E5"/>
    <w:rsid w:val="00B428C6"/>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6980"/>
    <w:rsid w:val="00B77EC8"/>
    <w:rsid w:val="00B815E5"/>
    <w:rsid w:val="00B827A6"/>
    <w:rsid w:val="00B831CE"/>
    <w:rsid w:val="00B86677"/>
    <w:rsid w:val="00B87131"/>
    <w:rsid w:val="00B907AF"/>
    <w:rsid w:val="00B939B1"/>
    <w:rsid w:val="00B96D0B"/>
    <w:rsid w:val="00B96D40"/>
    <w:rsid w:val="00B97386"/>
    <w:rsid w:val="00BA263B"/>
    <w:rsid w:val="00BA42B2"/>
    <w:rsid w:val="00BA58D4"/>
    <w:rsid w:val="00BA5B9E"/>
    <w:rsid w:val="00BA7582"/>
    <w:rsid w:val="00BA7C9A"/>
    <w:rsid w:val="00BB5F8F"/>
    <w:rsid w:val="00BB657A"/>
    <w:rsid w:val="00BC1A4E"/>
    <w:rsid w:val="00BC5DC7"/>
    <w:rsid w:val="00BC6B8B"/>
    <w:rsid w:val="00BC73D8"/>
    <w:rsid w:val="00BD1D26"/>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7B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14FB"/>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55E6"/>
    <w:rsid w:val="00D06AB1"/>
    <w:rsid w:val="00D06FC1"/>
    <w:rsid w:val="00D072ED"/>
    <w:rsid w:val="00D07A16"/>
    <w:rsid w:val="00D1067E"/>
    <w:rsid w:val="00D10CA6"/>
    <w:rsid w:val="00D10F50"/>
    <w:rsid w:val="00D11272"/>
    <w:rsid w:val="00D126F5"/>
    <w:rsid w:val="00D1489E"/>
    <w:rsid w:val="00D2031A"/>
    <w:rsid w:val="00D20737"/>
    <w:rsid w:val="00D21E81"/>
    <w:rsid w:val="00D223DE"/>
    <w:rsid w:val="00D25E37"/>
    <w:rsid w:val="00D2661A"/>
    <w:rsid w:val="00D27582"/>
    <w:rsid w:val="00D27EC4"/>
    <w:rsid w:val="00D3045A"/>
    <w:rsid w:val="00D3117A"/>
    <w:rsid w:val="00D32719"/>
    <w:rsid w:val="00D33333"/>
    <w:rsid w:val="00D352A2"/>
    <w:rsid w:val="00D4162B"/>
    <w:rsid w:val="00D4514F"/>
    <w:rsid w:val="00D451E2"/>
    <w:rsid w:val="00D45E89"/>
    <w:rsid w:val="00D45E8D"/>
    <w:rsid w:val="00D466AE"/>
    <w:rsid w:val="00D4734F"/>
    <w:rsid w:val="00D51BF3"/>
    <w:rsid w:val="00D577AC"/>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0D1C"/>
    <w:rsid w:val="00DB286E"/>
    <w:rsid w:val="00DB38EE"/>
    <w:rsid w:val="00DB498B"/>
    <w:rsid w:val="00DB66CA"/>
    <w:rsid w:val="00DB6BCA"/>
    <w:rsid w:val="00DB6F54"/>
    <w:rsid w:val="00DB73F7"/>
    <w:rsid w:val="00DC0321"/>
    <w:rsid w:val="00DC3067"/>
    <w:rsid w:val="00DC370B"/>
    <w:rsid w:val="00DC4AED"/>
    <w:rsid w:val="00DC5B90"/>
    <w:rsid w:val="00DD00FF"/>
    <w:rsid w:val="00DD0619"/>
    <w:rsid w:val="00DD07FB"/>
    <w:rsid w:val="00DD25C6"/>
    <w:rsid w:val="00DD4FE5"/>
    <w:rsid w:val="00DD54B0"/>
    <w:rsid w:val="00DD57EE"/>
    <w:rsid w:val="00DD6BCC"/>
    <w:rsid w:val="00DE0A4B"/>
    <w:rsid w:val="00DE2410"/>
    <w:rsid w:val="00DE2939"/>
    <w:rsid w:val="00DE491D"/>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33F1"/>
    <w:rsid w:val="00E34A98"/>
    <w:rsid w:val="00E35D1E"/>
    <w:rsid w:val="00E364F9"/>
    <w:rsid w:val="00E365FA"/>
    <w:rsid w:val="00E36789"/>
    <w:rsid w:val="00E44A83"/>
    <w:rsid w:val="00E502C1"/>
    <w:rsid w:val="00E502DD"/>
    <w:rsid w:val="00E50D3A"/>
    <w:rsid w:val="00E51387"/>
    <w:rsid w:val="00E51E68"/>
    <w:rsid w:val="00E52EFD"/>
    <w:rsid w:val="00E5408A"/>
    <w:rsid w:val="00E55624"/>
    <w:rsid w:val="00E56800"/>
    <w:rsid w:val="00E60C63"/>
    <w:rsid w:val="00E62FF9"/>
    <w:rsid w:val="00E635D6"/>
    <w:rsid w:val="00E639BC"/>
    <w:rsid w:val="00E664CC"/>
    <w:rsid w:val="00E6726F"/>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59AA"/>
    <w:rsid w:val="00EA61BC"/>
    <w:rsid w:val="00EA681A"/>
    <w:rsid w:val="00EA735B"/>
    <w:rsid w:val="00EB1E69"/>
    <w:rsid w:val="00EB2086"/>
    <w:rsid w:val="00EB31ED"/>
    <w:rsid w:val="00EB5EDF"/>
    <w:rsid w:val="00EB60FE"/>
    <w:rsid w:val="00EB74DB"/>
    <w:rsid w:val="00EC5359"/>
    <w:rsid w:val="00EC562A"/>
    <w:rsid w:val="00ED067A"/>
    <w:rsid w:val="00ED2B50"/>
    <w:rsid w:val="00ED75C2"/>
    <w:rsid w:val="00EE0350"/>
    <w:rsid w:val="00EE0719"/>
    <w:rsid w:val="00EE0E80"/>
    <w:rsid w:val="00EE613F"/>
    <w:rsid w:val="00EE7295"/>
    <w:rsid w:val="00EE7869"/>
    <w:rsid w:val="00EF054A"/>
    <w:rsid w:val="00EF3235"/>
    <w:rsid w:val="00EF7076"/>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33910"/>
    <w:rsid w:val="00F420D5"/>
    <w:rsid w:val="00F451EA"/>
    <w:rsid w:val="00F45447"/>
    <w:rsid w:val="00F456C6"/>
    <w:rsid w:val="00F4577B"/>
    <w:rsid w:val="00F462B9"/>
    <w:rsid w:val="00F46496"/>
    <w:rsid w:val="00F474D0"/>
    <w:rsid w:val="00F50179"/>
    <w:rsid w:val="00F515EE"/>
    <w:rsid w:val="00F52291"/>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41A6"/>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0F3D0B"/>
    <w:rsid w:val="01F42A41"/>
    <w:rsid w:val="03302119"/>
    <w:rsid w:val="037C6A68"/>
    <w:rsid w:val="03A7370C"/>
    <w:rsid w:val="045F02A5"/>
    <w:rsid w:val="046C67C9"/>
    <w:rsid w:val="05BE0F8F"/>
    <w:rsid w:val="065F132F"/>
    <w:rsid w:val="06A157BA"/>
    <w:rsid w:val="06AE5F77"/>
    <w:rsid w:val="07B81938"/>
    <w:rsid w:val="08A01F65"/>
    <w:rsid w:val="09093863"/>
    <w:rsid w:val="0A1058A0"/>
    <w:rsid w:val="0A1331CE"/>
    <w:rsid w:val="0A86416A"/>
    <w:rsid w:val="0AD74272"/>
    <w:rsid w:val="0AD76FA7"/>
    <w:rsid w:val="0BC729E9"/>
    <w:rsid w:val="0BD95CE0"/>
    <w:rsid w:val="0C6D3281"/>
    <w:rsid w:val="0D807235"/>
    <w:rsid w:val="0DBD1075"/>
    <w:rsid w:val="0E5F562C"/>
    <w:rsid w:val="0F1F64FF"/>
    <w:rsid w:val="0F816382"/>
    <w:rsid w:val="0FAB771D"/>
    <w:rsid w:val="100716CB"/>
    <w:rsid w:val="10CA2AAF"/>
    <w:rsid w:val="11E33202"/>
    <w:rsid w:val="123B45F5"/>
    <w:rsid w:val="134E44EE"/>
    <w:rsid w:val="13F13588"/>
    <w:rsid w:val="13F559A1"/>
    <w:rsid w:val="1458496F"/>
    <w:rsid w:val="16105F47"/>
    <w:rsid w:val="16755A84"/>
    <w:rsid w:val="16BC5702"/>
    <w:rsid w:val="17435EA8"/>
    <w:rsid w:val="1774326E"/>
    <w:rsid w:val="19222847"/>
    <w:rsid w:val="19A603A4"/>
    <w:rsid w:val="1A0E6AEB"/>
    <w:rsid w:val="1B233A0E"/>
    <w:rsid w:val="1B364994"/>
    <w:rsid w:val="1BD14CC5"/>
    <w:rsid w:val="1CDC33EA"/>
    <w:rsid w:val="1E861F68"/>
    <w:rsid w:val="1F5B6C81"/>
    <w:rsid w:val="1F790441"/>
    <w:rsid w:val="1F7A2DA5"/>
    <w:rsid w:val="1FB04E94"/>
    <w:rsid w:val="204F0253"/>
    <w:rsid w:val="210C37AF"/>
    <w:rsid w:val="237A7D29"/>
    <w:rsid w:val="239E16D9"/>
    <w:rsid w:val="24416617"/>
    <w:rsid w:val="24794382"/>
    <w:rsid w:val="24A16834"/>
    <w:rsid w:val="24D80A81"/>
    <w:rsid w:val="25BB4AB6"/>
    <w:rsid w:val="26793F8C"/>
    <w:rsid w:val="267C4F33"/>
    <w:rsid w:val="26A139B9"/>
    <w:rsid w:val="26BF3F9F"/>
    <w:rsid w:val="26C80641"/>
    <w:rsid w:val="285717B4"/>
    <w:rsid w:val="2871105E"/>
    <w:rsid w:val="28C55834"/>
    <w:rsid w:val="29E647CC"/>
    <w:rsid w:val="2AD71503"/>
    <w:rsid w:val="2AE412F9"/>
    <w:rsid w:val="2B2B312F"/>
    <w:rsid w:val="2B2F7622"/>
    <w:rsid w:val="2CA87836"/>
    <w:rsid w:val="2E224C68"/>
    <w:rsid w:val="2EB05F6C"/>
    <w:rsid w:val="2F6864C9"/>
    <w:rsid w:val="30105C13"/>
    <w:rsid w:val="30DD1A9D"/>
    <w:rsid w:val="315279A2"/>
    <w:rsid w:val="31701B06"/>
    <w:rsid w:val="31DF69F1"/>
    <w:rsid w:val="32130922"/>
    <w:rsid w:val="32675738"/>
    <w:rsid w:val="32E26388"/>
    <w:rsid w:val="330B6910"/>
    <w:rsid w:val="34626210"/>
    <w:rsid w:val="353E3564"/>
    <w:rsid w:val="354C3D21"/>
    <w:rsid w:val="357651D1"/>
    <w:rsid w:val="366473BA"/>
    <w:rsid w:val="36926E7C"/>
    <w:rsid w:val="372500B4"/>
    <w:rsid w:val="372838B5"/>
    <w:rsid w:val="37D27487"/>
    <w:rsid w:val="3980065F"/>
    <w:rsid w:val="39E3312F"/>
    <w:rsid w:val="3A3E3EF7"/>
    <w:rsid w:val="3A57639B"/>
    <w:rsid w:val="3C0435A9"/>
    <w:rsid w:val="3C894F26"/>
    <w:rsid w:val="3CE66A89"/>
    <w:rsid w:val="3CF17FD1"/>
    <w:rsid w:val="3D4165AC"/>
    <w:rsid w:val="3D497309"/>
    <w:rsid w:val="3DB14B32"/>
    <w:rsid w:val="3F1B3490"/>
    <w:rsid w:val="3F90141E"/>
    <w:rsid w:val="40785134"/>
    <w:rsid w:val="41456300"/>
    <w:rsid w:val="417D17B7"/>
    <w:rsid w:val="41E30C26"/>
    <w:rsid w:val="42010CED"/>
    <w:rsid w:val="43EE0063"/>
    <w:rsid w:val="4441628F"/>
    <w:rsid w:val="44C803E4"/>
    <w:rsid w:val="44C95D4D"/>
    <w:rsid w:val="454A33D5"/>
    <w:rsid w:val="457E36C4"/>
    <w:rsid w:val="45991206"/>
    <w:rsid w:val="459E761B"/>
    <w:rsid w:val="45BC1BF0"/>
    <w:rsid w:val="45C0113F"/>
    <w:rsid w:val="462104D8"/>
    <w:rsid w:val="47EA3656"/>
    <w:rsid w:val="47F556F4"/>
    <w:rsid w:val="4887142D"/>
    <w:rsid w:val="495D5A5C"/>
    <w:rsid w:val="49AC4A9A"/>
    <w:rsid w:val="49B900A4"/>
    <w:rsid w:val="49C71090"/>
    <w:rsid w:val="49FF7F76"/>
    <w:rsid w:val="4AC26B09"/>
    <w:rsid w:val="4AE80FFA"/>
    <w:rsid w:val="4B8176AB"/>
    <w:rsid w:val="4B9A02AA"/>
    <w:rsid w:val="4BE50711"/>
    <w:rsid w:val="4C617CFD"/>
    <w:rsid w:val="4C9E5F63"/>
    <w:rsid w:val="4CAA1F4A"/>
    <w:rsid w:val="4CDF1128"/>
    <w:rsid w:val="4D267F4B"/>
    <w:rsid w:val="4E0E2461"/>
    <w:rsid w:val="4F762851"/>
    <w:rsid w:val="4FE436E4"/>
    <w:rsid w:val="4FFA3C75"/>
    <w:rsid w:val="50371D47"/>
    <w:rsid w:val="51040BD5"/>
    <w:rsid w:val="52D82877"/>
    <w:rsid w:val="53494BA1"/>
    <w:rsid w:val="53523298"/>
    <w:rsid w:val="535E1AF7"/>
    <w:rsid w:val="53F61ACD"/>
    <w:rsid w:val="54260518"/>
    <w:rsid w:val="54793F44"/>
    <w:rsid w:val="54B022B7"/>
    <w:rsid w:val="559D6DCA"/>
    <w:rsid w:val="56A84A2D"/>
    <w:rsid w:val="575539D5"/>
    <w:rsid w:val="57CB1E7F"/>
    <w:rsid w:val="58997950"/>
    <w:rsid w:val="58A321B7"/>
    <w:rsid w:val="59947D1D"/>
    <w:rsid w:val="59B711F5"/>
    <w:rsid w:val="59BD1846"/>
    <w:rsid w:val="5A685D3B"/>
    <w:rsid w:val="5ABB0442"/>
    <w:rsid w:val="5B251198"/>
    <w:rsid w:val="5B4D735B"/>
    <w:rsid w:val="5B541936"/>
    <w:rsid w:val="5B7C6CD5"/>
    <w:rsid w:val="5B961A42"/>
    <w:rsid w:val="5BBB6CE9"/>
    <w:rsid w:val="5BC11016"/>
    <w:rsid w:val="5E2D00AC"/>
    <w:rsid w:val="5E45707B"/>
    <w:rsid w:val="5E8E4CA0"/>
    <w:rsid w:val="5EFD176A"/>
    <w:rsid w:val="5F9167D9"/>
    <w:rsid w:val="600B21CC"/>
    <w:rsid w:val="60614178"/>
    <w:rsid w:val="606E1AA0"/>
    <w:rsid w:val="61373B45"/>
    <w:rsid w:val="61420FE0"/>
    <w:rsid w:val="62AB0843"/>
    <w:rsid w:val="62B93F93"/>
    <w:rsid w:val="63F14F8A"/>
    <w:rsid w:val="64573F38"/>
    <w:rsid w:val="64AB125D"/>
    <w:rsid w:val="65D07B0C"/>
    <w:rsid w:val="66460B4F"/>
    <w:rsid w:val="6648015B"/>
    <w:rsid w:val="664B6C65"/>
    <w:rsid w:val="66AF7C82"/>
    <w:rsid w:val="66D32088"/>
    <w:rsid w:val="675B47A0"/>
    <w:rsid w:val="67945BFF"/>
    <w:rsid w:val="67A45F44"/>
    <w:rsid w:val="688977D9"/>
    <w:rsid w:val="68B714CB"/>
    <w:rsid w:val="690D4FF0"/>
    <w:rsid w:val="695C56F9"/>
    <w:rsid w:val="69E2059C"/>
    <w:rsid w:val="6ADD43E2"/>
    <w:rsid w:val="6B5A2EC5"/>
    <w:rsid w:val="6CBD36BE"/>
    <w:rsid w:val="6CE8148E"/>
    <w:rsid w:val="6D05214D"/>
    <w:rsid w:val="6DEA4CC2"/>
    <w:rsid w:val="6E0C4A4C"/>
    <w:rsid w:val="6E194077"/>
    <w:rsid w:val="6E6727F4"/>
    <w:rsid w:val="6F116045"/>
    <w:rsid w:val="6FDC0F91"/>
    <w:rsid w:val="700C6E90"/>
    <w:rsid w:val="70742409"/>
    <w:rsid w:val="709674C6"/>
    <w:rsid w:val="70A57CA4"/>
    <w:rsid w:val="710B1683"/>
    <w:rsid w:val="715C7520"/>
    <w:rsid w:val="718F16DD"/>
    <w:rsid w:val="71B45745"/>
    <w:rsid w:val="71D7672B"/>
    <w:rsid w:val="71E94D82"/>
    <w:rsid w:val="73A56DC9"/>
    <w:rsid w:val="749D42F0"/>
    <w:rsid w:val="74A40C28"/>
    <w:rsid w:val="77C70B12"/>
    <w:rsid w:val="781E731D"/>
    <w:rsid w:val="79217ACA"/>
    <w:rsid w:val="7A8C6D1C"/>
    <w:rsid w:val="7AFE4A7D"/>
    <w:rsid w:val="7C8B0247"/>
    <w:rsid w:val="7CD84FC5"/>
    <w:rsid w:val="7D19514C"/>
    <w:rsid w:val="7D243180"/>
    <w:rsid w:val="7D264462"/>
    <w:rsid w:val="7D527BAE"/>
    <w:rsid w:val="7EC17D77"/>
    <w:rsid w:val="7F5F5006"/>
    <w:rsid w:val="7FF14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semiHidden="0" w:name="HTML Acronym"/>
    <w:lsdException w:qFormat="1" w:uiPriority="99"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link w:val="242"/>
    <w:qFormat/>
    <w:uiPriority w:val="0"/>
    <w:pPr>
      <w:keepNext/>
      <w:keepLines/>
      <w:spacing w:before="340" w:after="330" w:line="578" w:lineRule="auto"/>
      <w:outlineLvl w:val="0"/>
    </w:pPr>
    <w:rPr>
      <w:b/>
      <w:bCs/>
      <w:kern w:val="44"/>
      <w:sz w:val="44"/>
      <w:szCs w:val="44"/>
    </w:rPr>
  </w:style>
  <w:style w:type="paragraph" w:styleId="3">
    <w:name w:val="heading 2"/>
    <w:basedOn w:val="1"/>
    <w:link w:val="2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link w:val="244"/>
    <w:qFormat/>
    <w:uiPriority w:val="0"/>
    <w:pPr>
      <w:keepNext/>
      <w:keepLines/>
      <w:spacing w:before="260" w:after="260" w:line="416" w:lineRule="auto"/>
      <w:outlineLvl w:val="2"/>
    </w:pPr>
    <w:rPr>
      <w:b/>
      <w:bCs/>
      <w:sz w:val="32"/>
      <w:szCs w:val="32"/>
    </w:rPr>
  </w:style>
  <w:style w:type="paragraph" w:styleId="5">
    <w:name w:val="heading 4"/>
    <w:basedOn w:val="1"/>
    <w:link w:val="245"/>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link w:val="246"/>
    <w:qFormat/>
    <w:uiPriority w:val="0"/>
    <w:pPr>
      <w:keepNext/>
      <w:keepLines/>
      <w:adjustRightInd/>
      <w:spacing w:before="280" w:after="290" w:line="376" w:lineRule="auto"/>
      <w:outlineLvl w:val="4"/>
    </w:pPr>
    <w:rPr>
      <w:b/>
      <w:bCs/>
      <w:sz w:val="28"/>
      <w:szCs w:val="28"/>
    </w:rPr>
  </w:style>
  <w:style w:type="paragraph" w:styleId="7">
    <w:name w:val="heading 6"/>
    <w:basedOn w:val="1"/>
    <w:link w:val="247"/>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5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5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52"/>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96"/>
    <w:qFormat/>
    <w:uiPriority w:val="0"/>
    <w:pPr>
      <w:spacing w:after="120"/>
    </w:pPr>
  </w:style>
  <w:style w:type="paragraph" w:styleId="14">
    <w:name w:val="HTML Address"/>
    <w:basedOn w:val="1"/>
    <w:link w:val="249"/>
    <w:unhideWhenUsed/>
    <w:qFormat/>
    <w:uiPriority w:val="99"/>
    <w:rPr>
      <w:rFonts w:hint="eastAsia"/>
      <w:i/>
      <w:sz w:val="24"/>
      <w:szCs w:val="24"/>
    </w:r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5"/>
    <w:semiHidden/>
    <w:unhideWhenUsed/>
    <w:qFormat/>
    <w:uiPriority w:val="99"/>
    <w:rPr>
      <w:sz w:val="18"/>
      <w:szCs w:val="18"/>
    </w:rPr>
  </w:style>
  <w:style w:type="paragraph" w:styleId="18">
    <w:name w:val="footer"/>
    <w:basedOn w:val="1"/>
    <w:link w:val="54"/>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53"/>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HTML Preformatted"/>
    <w:basedOn w:val="1"/>
    <w:link w:val="248"/>
    <w:unhideWhenUsed/>
    <w:qFormat/>
    <w:uiPriority w:val="99"/>
    <w:rPr>
      <w:rFonts w:hint="eastAsia" w:ascii="Courier New" w:hAnsi="Courier New"/>
      <w:sz w:val="24"/>
      <w:szCs w:val="24"/>
    </w:rPr>
  </w:style>
  <w:style w:type="paragraph" w:styleId="27">
    <w:name w:val="Title"/>
    <w:basedOn w:val="1"/>
    <w:link w:val="58"/>
    <w:qFormat/>
    <w:uiPriority w:val="0"/>
    <w:pPr>
      <w:spacing w:before="240" w:after="60"/>
      <w:jc w:val="center"/>
      <w:outlineLvl w:val="0"/>
    </w:pPr>
    <w:rPr>
      <w:rFonts w:ascii="Arial" w:hAnsi="Arial" w:cs="Arial"/>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TML Definition"/>
    <w:unhideWhenUsed/>
    <w:qFormat/>
    <w:uiPriority w:val="99"/>
    <w:rPr>
      <w:rFonts w:hint="default"/>
      <w:i/>
      <w:sz w:val="24"/>
      <w:szCs w:val="24"/>
    </w:rPr>
  </w:style>
  <w:style w:type="character" w:styleId="35">
    <w:name w:val="HTML Typewriter"/>
    <w:unhideWhenUsed/>
    <w:qFormat/>
    <w:uiPriority w:val="99"/>
    <w:rPr>
      <w:rFonts w:hint="eastAsia" w:ascii="Courier New" w:hAnsi="Courier New"/>
      <w:sz w:val="24"/>
      <w:szCs w:val="24"/>
    </w:rPr>
  </w:style>
  <w:style w:type="character" w:styleId="36">
    <w:name w:val="HTML Acronym"/>
    <w:unhideWhenUsed/>
    <w:qFormat/>
    <w:uiPriority w:val="99"/>
    <w:rPr>
      <w:rFonts w:hint="default"/>
      <w:sz w:val="24"/>
      <w:szCs w:val="24"/>
    </w:rPr>
  </w:style>
  <w:style w:type="character" w:styleId="37">
    <w:name w:val="HTML Variable"/>
    <w:unhideWhenUsed/>
    <w:qFormat/>
    <w:uiPriority w:val="99"/>
    <w:rPr>
      <w:rFonts w:hint="default"/>
      <w:i/>
      <w:sz w:val="24"/>
      <w:szCs w:val="24"/>
    </w:rPr>
  </w:style>
  <w:style w:type="character" w:styleId="38">
    <w:name w:val="Hyperlink"/>
    <w:qFormat/>
    <w:uiPriority w:val="99"/>
    <w:rPr>
      <w:rFonts w:ascii="宋体" w:hAnsi="Times New Roman" w:eastAsia="宋体"/>
      <w:color w:val="auto"/>
      <w:spacing w:val="0"/>
      <w:w w:val="100"/>
      <w:position w:val="0"/>
      <w:sz w:val="21"/>
      <w:u w:val="none"/>
      <w:vertAlign w:val="baseline"/>
    </w:rPr>
  </w:style>
  <w:style w:type="character" w:styleId="39">
    <w:name w:val="HTML Code"/>
    <w:unhideWhenUsed/>
    <w:qFormat/>
    <w:uiPriority w:val="99"/>
    <w:rPr>
      <w:rFonts w:hint="eastAsia" w:ascii="Courier New" w:hAnsi="Courier New"/>
      <w:sz w:val="24"/>
      <w:szCs w:val="24"/>
    </w:rPr>
  </w:style>
  <w:style w:type="character" w:styleId="40">
    <w:name w:val="HTML Cite"/>
    <w:unhideWhenUsed/>
    <w:qFormat/>
    <w:uiPriority w:val="99"/>
    <w:rPr>
      <w:rFonts w:hint="default"/>
      <w:i/>
      <w:sz w:val="24"/>
      <w:szCs w:val="24"/>
    </w:rPr>
  </w:style>
  <w:style w:type="character" w:styleId="41">
    <w:name w:val="footnote reference"/>
    <w:semiHidden/>
    <w:qFormat/>
    <w:uiPriority w:val="0"/>
    <w:rPr>
      <w:rFonts w:ascii="宋体" w:hAnsi="宋体" w:eastAsia="宋体" w:cs="Times New Roman"/>
      <w:spacing w:val="0"/>
      <w:sz w:val="18"/>
      <w:vertAlign w:val="superscript"/>
    </w:rPr>
  </w:style>
  <w:style w:type="character" w:styleId="42">
    <w:name w:val="HTML Keyboard"/>
    <w:unhideWhenUsed/>
    <w:qFormat/>
    <w:uiPriority w:val="99"/>
    <w:rPr>
      <w:rFonts w:hint="eastAsia" w:ascii="Courier New" w:hAnsi="Courier New"/>
      <w:sz w:val="24"/>
      <w:szCs w:val="24"/>
    </w:rPr>
  </w:style>
  <w:style w:type="character" w:styleId="43">
    <w:name w:val="HTML Sample"/>
    <w:unhideWhenUsed/>
    <w:qFormat/>
    <w:uiPriority w:val="99"/>
    <w:rPr>
      <w:rFonts w:hint="eastAsia" w:ascii="Courier New" w:hAnsi="Courier New"/>
      <w:sz w:val="24"/>
      <w:szCs w:val="24"/>
    </w:rPr>
  </w:style>
  <w:style w:type="character" w:customStyle="1" w:styleId="44">
    <w:name w:val="标题 1 字符"/>
    <w:qFormat/>
    <w:uiPriority w:val="0"/>
    <w:rPr>
      <w:b/>
      <w:bCs/>
      <w:kern w:val="44"/>
      <w:sz w:val="44"/>
      <w:szCs w:val="44"/>
    </w:rPr>
  </w:style>
  <w:style w:type="character" w:customStyle="1" w:styleId="45">
    <w:name w:val="标题 2 字符"/>
    <w:qFormat/>
    <w:uiPriority w:val="0"/>
    <w:rPr>
      <w:rFonts w:ascii="Arial" w:hAnsi="Arial" w:eastAsia="黑体"/>
      <w:b/>
      <w:bCs/>
      <w:kern w:val="2"/>
      <w:sz w:val="32"/>
      <w:szCs w:val="32"/>
    </w:rPr>
  </w:style>
  <w:style w:type="character" w:customStyle="1" w:styleId="46">
    <w:name w:val="标题 3 字符"/>
    <w:qFormat/>
    <w:uiPriority w:val="0"/>
    <w:rPr>
      <w:b/>
      <w:bCs/>
      <w:kern w:val="2"/>
      <w:sz w:val="32"/>
      <w:szCs w:val="32"/>
    </w:rPr>
  </w:style>
  <w:style w:type="character" w:customStyle="1" w:styleId="47">
    <w:name w:val="标题 4 字符"/>
    <w:qFormat/>
    <w:uiPriority w:val="0"/>
    <w:rPr>
      <w:rFonts w:ascii="Arial" w:hAnsi="Arial" w:eastAsia="黑体"/>
      <w:b/>
      <w:bCs/>
      <w:kern w:val="2"/>
      <w:sz w:val="28"/>
      <w:szCs w:val="28"/>
    </w:rPr>
  </w:style>
  <w:style w:type="character" w:customStyle="1" w:styleId="48">
    <w:name w:val="标题 5 字符"/>
    <w:qFormat/>
    <w:uiPriority w:val="0"/>
    <w:rPr>
      <w:b/>
      <w:bCs/>
      <w:kern w:val="2"/>
      <w:sz w:val="28"/>
      <w:szCs w:val="28"/>
    </w:rPr>
  </w:style>
  <w:style w:type="character" w:customStyle="1" w:styleId="49">
    <w:name w:val="标题 6 字符"/>
    <w:qFormat/>
    <w:uiPriority w:val="0"/>
    <w:rPr>
      <w:rFonts w:ascii="Arial" w:hAnsi="Arial" w:eastAsia="黑体"/>
      <w:b/>
      <w:bCs/>
      <w:kern w:val="2"/>
      <w:sz w:val="24"/>
      <w:szCs w:val="24"/>
    </w:rPr>
  </w:style>
  <w:style w:type="character" w:customStyle="1" w:styleId="50">
    <w:name w:val="标题 7 字符"/>
    <w:link w:val="8"/>
    <w:qFormat/>
    <w:uiPriority w:val="0"/>
    <w:rPr>
      <w:b/>
      <w:bCs/>
      <w:kern w:val="2"/>
      <w:sz w:val="24"/>
      <w:szCs w:val="24"/>
    </w:rPr>
  </w:style>
  <w:style w:type="character" w:customStyle="1" w:styleId="51">
    <w:name w:val="标题 8 字符"/>
    <w:link w:val="9"/>
    <w:qFormat/>
    <w:uiPriority w:val="0"/>
    <w:rPr>
      <w:rFonts w:ascii="Arial" w:hAnsi="Arial" w:eastAsia="黑体"/>
      <w:kern w:val="2"/>
      <w:sz w:val="24"/>
      <w:szCs w:val="24"/>
    </w:rPr>
  </w:style>
  <w:style w:type="character" w:customStyle="1" w:styleId="52">
    <w:name w:val="标题 9 字符"/>
    <w:link w:val="10"/>
    <w:qFormat/>
    <w:uiPriority w:val="0"/>
    <w:rPr>
      <w:rFonts w:ascii="Arial" w:hAnsi="Arial" w:eastAsia="黑体"/>
      <w:kern w:val="2"/>
      <w:sz w:val="21"/>
      <w:szCs w:val="21"/>
    </w:rPr>
  </w:style>
  <w:style w:type="character" w:customStyle="1" w:styleId="53">
    <w:name w:val="页眉 字符"/>
    <w:link w:val="19"/>
    <w:qFormat/>
    <w:uiPriority w:val="99"/>
    <w:rPr>
      <w:kern w:val="2"/>
      <w:sz w:val="18"/>
      <w:szCs w:val="18"/>
    </w:rPr>
  </w:style>
  <w:style w:type="character" w:customStyle="1" w:styleId="54">
    <w:name w:val="页脚 字符"/>
    <w:link w:val="18"/>
    <w:qFormat/>
    <w:uiPriority w:val="99"/>
    <w:rPr>
      <w:rFonts w:ascii="宋体"/>
      <w:kern w:val="2"/>
      <w:sz w:val="18"/>
      <w:szCs w:val="18"/>
    </w:rPr>
  </w:style>
  <w:style w:type="character" w:customStyle="1" w:styleId="55">
    <w:name w:val="批注框文本 字符"/>
    <w:link w:val="17"/>
    <w:semiHidden/>
    <w:qFormat/>
    <w:uiPriority w:val="99"/>
    <w:rPr>
      <w:kern w:val="2"/>
      <w:sz w:val="18"/>
      <w:szCs w:val="18"/>
    </w:rPr>
  </w:style>
  <w:style w:type="paragraph" w:styleId="56">
    <w:name w:val="Quote"/>
    <w:basedOn w:val="1"/>
    <w:link w:val="250"/>
    <w:qFormat/>
    <w:uiPriority w:val="29"/>
    <w:rPr>
      <w:i/>
      <w:iCs/>
      <w:color w:val="000000"/>
    </w:rPr>
  </w:style>
  <w:style w:type="character" w:customStyle="1" w:styleId="57">
    <w:name w:val="引用 字符"/>
    <w:qFormat/>
    <w:uiPriority w:val="29"/>
    <w:rPr>
      <w:i/>
      <w:iCs/>
      <w:color w:val="000000"/>
      <w:kern w:val="2"/>
      <w:sz w:val="21"/>
      <w:szCs w:val="21"/>
    </w:rPr>
  </w:style>
  <w:style w:type="character" w:customStyle="1" w:styleId="58">
    <w:name w:val="标题 字符"/>
    <w:link w:val="27"/>
    <w:qFormat/>
    <w:uiPriority w:val="0"/>
    <w:rPr>
      <w:rFonts w:ascii="Arial" w:hAnsi="Arial" w:cs="Arial"/>
      <w:b/>
      <w:bCs/>
      <w:kern w:val="2"/>
      <w:sz w:val="32"/>
      <w:szCs w:val="32"/>
    </w:rPr>
  </w:style>
  <w:style w:type="paragraph" w:customStyle="1" w:styleId="5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6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6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6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3">
    <w:name w:val="标准书眉一"/>
    <w:qFormat/>
    <w:uiPriority w:val="0"/>
    <w:pPr>
      <w:jc w:val="both"/>
    </w:pPr>
    <w:rPr>
      <w:rFonts w:ascii="Times New Roman" w:hAnsi="Times New Roman" w:eastAsia="宋体" w:cs="Times New Roman"/>
      <w:lang w:val="en-US" w:eastAsia="zh-CN" w:bidi="ar-SA"/>
    </w:rPr>
  </w:style>
  <w:style w:type="paragraph" w:customStyle="1" w:styleId="64">
    <w:name w:val="标准文件_ICS"/>
    <w:basedOn w:val="1"/>
    <w:qFormat/>
    <w:uiPriority w:val="0"/>
    <w:pPr>
      <w:spacing w:line="0" w:lineRule="atLeast"/>
    </w:pPr>
    <w:rPr>
      <w:rFonts w:ascii="黑体" w:hAnsi="宋体" w:eastAsia="黑体"/>
    </w:rPr>
  </w:style>
  <w:style w:type="paragraph" w:customStyle="1" w:styleId="65">
    <w:name w:val="标准文件_标准正文"/>
    <w:basedOn w:val="1"/>
    <w:next w:val="66"/>
    <w:qFormat/>
    <w:uiPriority w:val="0"/>
    <w:pPr>
      <w:snapToGrid w:val="0"/>
      <w:ind w:firstLine="200" w:firstLineChars="200"/>
    </w:pPr>
    <w:rPr>
      <w:kern w:val="0"/>
    </w:rPr>
  </w:style>
  <w:style w:type="paragraph" w:customStyle="1" w:styleId="66">
    <w:name w:val="标准文件_段"/>
    <w:link w:val="194"/>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67">
    <w:name w:val="标准文件_版本"/>
    <w:basedOn w:val="65"/>
    <w:qFormat/>
    <w:uiPriority w:val="0"/>
    <w:pPr>
      <w:adjustRightInd/>
      <w:snapToGrid/>
      <w:ind w:firstLine="0" w:firstLineChars="0"/>
    </w:pPr>
    <w:rPr>
      <w:rFonts w:ascii="宋体" w:hAnsi="宋体"/>
      <w:kern w:val="2"/>
    </w:rPr>
  </w:style>
  <w:style w:type="paragraph" w:customStyle="1" w:styleId="68">
    <w:name w:val="标准文件_标准部门"/>
    <w:basedOn w:val="1"/>
    <w:qFormat/>
    <w:uiPriority w:val="0"/>
    <w:pPr>
      <w:jc w:val="center"/>
    </w:pPr>
    <w:rPr>
      <w:rFonts w:ascii="黑体" w:eastAsia="黑体"/>
      <w:kern w:val="0"/>
      <w:sz w:val="44"/>
    </w:rPr>
  </w:style>
  <w:style w:type="paragraph" w:customStyle="1" w:styleId="69">
    <w:name w:val="标准文件_标准代替"/>
    <w:basedOn w:val="1"/>
    <w:next w:val="1"/>
    <w:qFormat/>
    <w:uiPriority w:val="0"/>
    <w:pPr>
      <w:spacing w:line="310" w:lineRule="exact"/>
      <w:jc w:val="right"/>
    </w:pPr>
    <w:rPr>
      <w:rFonts w:ascii="宋体" w:hAnsi="宋体"/>
      <w:kern w:val="0"/>
    </w:rPr>
  </w:style>
  <w:style w:type="paragraph" w:customStyle="1" w:styleId="7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7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72">
    <w:name w:val="标准文件_页眉偶数页"/>
    <w:basedOn w:val="71"/>
    <w:next w:val="1"/>
    <w:qFormat/>
    <w:uiPriority w:val="0"/>
    <w:pPr>
      <w:jc w:val="left"/>
    </w:pPr>
  </w:style>
  <w:style w:type="paragraph" w:customStyle="1" w:styleId="7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7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5">
    <w:name w:val="标准文件_二级条标题"/>
    <w:next w:val="6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6">
    <w:name w:val="标准文件_发布"/>
    <w:qFormat/>
    <w:uiPriority w:val="0"/>
    <w:rPr>
      <w:rFonts w:ascii="黑体" w:eastAsia="黑体"/>
      <w:spacing w:val="0"/>
      <w:w w:val="100"/>
      <w:position w:val="3"/>
      <w:sz w:val="28"/>
    </w:rPr>
  </w:style>
  <w:style w:type="paragraph" w:customStyle="1" w:styleId="77">
    <w:name w:val="标准文件_方框数字列项"/>
    <w:basedOn w:val="66"/>
    <w:qFormat/>
    <w:uiPriority w:val="0"/>
    <w:pPr>
      <w:numPr>
        <w:ilvl w:val="0"/>
        <w:numId w:val="3"/>
      </w:numPr>
      <w:ind w:firstLine="0" w:firstLineChars="0"/>
    </w:pPr>
  </w:style>
  <w:style w:type="paragraph" w:customStyle="1" w:styleId="78">
    <w:name w:val="标准文件_封面标准编号"/>
    <w:basedOn w:val="1"/>
    <w:next w:val="69"/>
    <w:qFormat/>
    <w:uiPriority w:val="0"/>
    <w:pPr>
      <w:spacing w:line="310" w:lineRule="exact"/>
      <w:jc w:val="right"/>
    </w:pPr>
    <w:rPr>
      <w:rFonts w:ascii="黑体" w:eastAsia="黑体"/>
      <w:kern w:val="0"/>
      <w:sz w:val="28"/>
    </w:rPr>
  </w:style>
  <w:style w:type="paragraph" w:customStyle="1" w:styleId="79">
    <w:name w:val="标准文件_封面标准分类号"/>
    <w:basedOn w:val="1"/>
    <w:qFormat/>
    <w:uiPriority w:val="0"/>
    <w:rPr>
      <w:rFonts w:ascii="黑体" w:eastAsia="黑体"/>
      <w:b/>
      <w:kern w:val="0"/>
      <w:sz w:val="28"/>
    </w:rPr>
  </w:style>
  <w:style w:type="paragraph" w:customStyle="1" w:styleId="80">
    <w:name w:val="标准文件_封面标准名称"/>
    <w:basedOn w:val="1"/>
    <w:qFormat/>
    <w:uiPriority w:val="0"/>
    <w:pPr>
      <w:spacing w:line="240" w:lineRule="auto"/>
      <w:jc w:val="center"/>
    </w:pPr>
    <w:rPr>
      <w:rFonts w:ascii="黑体" w:eastAsia="黑体"/>
      <w:kern w:val="0"/>
      <w:sz w:val="52"/>
    </w:rPr>
  </w:style>
  <w:style w:type="paragraph" w:customStyle="1" w:styleId="81">
    <w:name w:val="标准文件_封面标准英文名称"/>
    <w:basedOn w:val="1"/>
    <w:qFormat/>
    <w:uiPriority w:val="0"/>
    <w:pPr>
      <w:spacing w:line="240" w:lineRule="auto"/>
      <w:jc w:val="center"/>
    </w:pPr>
    <w:rPr>
      <w:rFonts w:ascii="黑体" w:eastAsia="黑体"/>
      <w:b/>
      <w:sz w:val="28"/>
    </w:rPr>
  </w:style>
  <w:style w:type="paragraph" w:customStyle="1" w:styleId="82">
    <w:name w:val="标准文件_封面发布日期"/>
    <w:basedOn w:val="1"/>
    <w:qFormat/>
    <w:uiPriority w:val="0"/>
    <w:pPr>
      <w:spacing w:line="310" w:lineRule="exact"/>
    </w:pPr>
    <w:rPr>
      <w:rFonts w:ascii="黑体" w:eastAsia="黑体"/>
      <w:kern w:val="0"/>
      <w:sz w:val="28"/>
    </w:rPr>
  </w:style>
  <w:style w:type="paragraph" w:customStyle="1" w:styleId="83">
    <w:name w:val="标准文件_封面密级"/>
    <w:basedOn w:val="1"/>
    <w:qFormat/>
    <w:uiPriority w:val="0"/>
    <w:rPr>
      <w:rFonts w:eastAsia="黑体"/>
      <w:sz w:val="32"/>
    </w:rPr>
  </w:style>
  <w:style w:type="paragraph" w:customStyle="1" w:styleId="84">
    <w:name w:val="标准文件_封面实施日期"/>
    <w:basedOn w:val="1"/>
    <w:qFormat/>
    <w:uiPriority w:val="0"/>
    <w:pPr>
      <w:spacing w:line="310" w:lineRule="exact"/>
      <w:jc w:val="right"/>
    </w:pPr>
    <w:rPr>
      <w:rFonts w:ascii="黑体" w:eastAsia="黑体"/>
      <w:sz w:val="28"/>
    </w:rPr>
  </w:style>
  <w:style w:type="paragraph" w:customStyle="1" w:styleId="85">
    <w:name w:val="标准文件_封面抬头"/>
    <w:basedOn w:val="66"/>
    <w:qFormat/>
    <w:uiPriority w:val="0"/>
    <w:pPr>
      <w:adjustRightInd w:val="0"/>
      <w:spacing w:line="800" w:lineRule="exact"/>
      <w:ind w:firstLine="0" w:firstLineChars="0"/>
      <w:jc w:val="distribute"/>
    </w:pPr>
    <w:rPr>
      <w:rFonts w:ascii="黑体" w:eastAsia="黑体"/>
      <w:b/>
      <w:sz w:val="64"/>
    </w:rPr>
  </w:style>
  <w:style w:type="paragraph" w:customStyle="1" w:styleId="86">
    <w:name w:val="标准文件_附录标识"/>
    <w:next w:val="6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7">
    <w:name w:val="标准文件_附录表标题"/>
    <w:next w:val="6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8">
    <w:name w:val="标准文件_附录一级条标题"/>
    <w:next w:val="6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9">
    <w:name w:val="标准文件_附录二级条标题"/>
    <w:basedOn w:val="88"/>
    <w:next w:val="66"/>
    <w:qFormat/>
    <w:uiPriority w:val="0"/>
    <w:pPr>
      <w:widowControl/>
      <w:numPr>
        <w:ilvl w:val="2"/>
      </w:numPr>
      <w:wordWrap w:val="0"/>
      <w:overflowPunct w:val="0"/>
      <w:autoSpaceDE w:val="0"/>
      <w:autoSpaceDN w:val="0"/>
      <w:textAlignment w:val="baseline"/>
      <w:outlineLvl w:val="3"/>
    </w:pPr>
  </w:style>
  <w:style w:type="paragraph" w:customStyle="1" w:styleId="90">
    <w:name w:val="标准文件_附录公式"/>
    <w:basedOn w:val="65"/>
    <w:next w:val="6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91">
    <w:name w:val="标准文件_附录三级条标题"/>
    <w:next w:val="6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92">
    <w:name w:val="标准文件_附录四级条标题"/>
    <w:next w:val="6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3">
    <w:name w:val="标准文件_附录图标题"/>
    <w:next w:val="6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94">
    <w:name w:val="标准文件_附录五级条标题"/>
    <w:next w:val="6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6">
    <w:name w:val="正文文本 字符"/>
    <w:link w:val="13"/>
    <w:qFormat/>
    <w:uiPriority w:val="0"/>
    <w:rPr>
      <w:kern w:val="2"/>
      <w:sz w:val="21"/>
      <w:szCs w:val="21"/>
    </w:rPr>
  </w:style>
  <w:style w:type="paragraph" w:customStyle="1" w:styleId="97">
    <w:name w:val="标准文件_附录章标题"/>
    <w:next w:val="6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8">
    <w:name w:val="标准文件_公式后的破折号"/>
    <w:basedOn w:val="66"/>
    <w:next w:val="66"/>
    <w:qFormat/>
    <w:uiPriority w:val="0"/>
    <w:pPr>
      <w:ind w:left="488" w:leftChars="200" w:hanging="289" w:hangingChars="290"/>
    </w:pPr>
  </w:style>
  <w:style w:type="paragraph" w:customStyle="1" w:styleId="9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100">
    <w:name w:val="标准文件_目次、标准名称标题"/>
    <w:basedOn w:val="99"/>
    <w:next w:val="66"/>
    <w:qFormat/>
    <w:uiPriority w:val="0"/>
    <w:pPr>
      <w:spacing w:line="460" w:lineRule="exact"/>
      <w:ind w:left="0" w:firstLine="0"/>
    </w:pPr>
  </w:style>
  <w:style w:type="paragraph" w:customStyle="1" w:styleId="10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10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3">
    <w:name w:val="标准文件_破折号列项（二级）"/>
    <w:basedOn w:val="102"/>
    <w:qFormat/>
    <w:uiPriority w:val="0"/>
    <w:pPr>
      <w:numPr>
        <w:numId w:val="10"/>
      </w:numPr>
    </w:pPr>
  </w:style>
  <w:style w:type="paragraph" w:customStyle="1" w:styleId="104">
    <w:name w:val="标准文件_三级条标题"/>
    <w:basedOn w:val="75"/>
    <w:next w:val="66"/>
    <w:qFormat/>
    <w:uiPriority w:val="0"/>
    <w:pPr>
      <w:widowControl/>
      <w:numPr>
        <w:ilvl w:val="4"/>
      </w:numPr>
      <w:outlineLvl w:val="3"/>
    </w:pPr>
  </w:style>
  <w:style w:type="character" w:customStyle="1" w:styleId="105">
    <w:name w:val="不明显参考1"/>
    <w:qFormat/>
    <w:uiPriority w:val="31"/>
    <w:rPr>
      <w:smallCaps/>
      <w:color w:val="C0504D"/>
      <w:u w:val="single"/>
    </w:rPr>
  </w:style>
  <w:style w:type="paragraph" w:customStyle="1" w:styleId="106">
    <w:name w:val="标准文件_示例后续"/>
    <w:basedOn w:val="1"/>
    <w:qFormat/>
    <w:uiPriority w:val="0"/>
    <w:pPr>
      <w:adjustRightInd/>
      <w:spacing w:line="240" w:lineRule="auto"/>
      <w:ind w:firstLine="200" w:firstLineChars="200"/>
    </w:pPr>
    <w:rPr>
      <w:sz w:val="18"/>
      <w:szCs w:val="24"/>
    </w:rPr>
  </w:style>
  <w:style w:type="paragraph" w:customStyle="1" w:styleId="10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8">
    <w:name w:val="标准文件_四级条标题"/>
    <w:next w:val="6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9">
    <w:name w:val="脚注文本 字符"/>
    <w:link w:val="22"/>
    <w:semiHidden/>
    <w:qFormat/>
    <w:uiPriority w:val="0"/>
    <w:rPr>
      <w:rFonts w:ascii="宋体"/>
      <w:kern w:val="2"/>
      <w:sz w:val="18"/>
      <w:szCs w:val="18"/>
    </w:rPr>
  </w:style>
  <w:style w:type="paragraph" w:customStyle="1" w:styleId="110">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11">
    <w:name w:val="标准文件_图表脚注"/>
    <w:basedOn w:val="1"/>
    <w:next w:val="66"/>
    <w:qFormat/>
    <w:uiPriority w:val="0"/>
    <w:pPr>
      <w:numPr>
        <w:ilvl w:val="0"/>
        <w:numId w:val="12"/>
      </w:numPr>
      <w:spacing w:line="240" w:lineRule="auto"/>
      <w:jc w:val="left"/>
    </w:pPr>
    <w:rPr>
      <w:rFonts w:ascii="宋体" w:hAnsi="宋体"/>
      <w:sz w:val="18"/>
    </w:rPr>
  </w:style>
  <w:style w:type="character" w:customStyle="1" w:styleId="112">
    <w:name w:val="标准文件_图表脚注内容"/>
    <w:qFormat/>
    <w:uiPriority w:val="0"/>
    <w:rPr>
      <w:rFonts w:ascii="宋体" w:hAnsi="宋体" w:eastAsia="宋体" w:cs="Times New Roman"/>
      <w:spacing w:val="0"/>
      <w:sz w:val="18"/>
      <w:vertAlign w:val="superscript"/>
    </w:rPr>
  </w:style>
  <w:style w:type="paragraph" w:customStyle="1" w:styleId="113">
    <w:name w:val="标准文件_五级条标题"/>
    <w:next w:val="6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4">
    <w:name w:val="标准文件_章标题"/>
    <w:next w:val="6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5">
    <w:name w:val="标准文件_一级条标题"/>
    <w:basedOn w:val="114"/>
    <w:next w:val="66"/>
    <w:qFormat/>
    <w:uiPriority w:val="0"/>
    <w:pPr>
      <w:numPr>
        <w:ilvl w:val="2"/>
      </w:numPr>
      <w:spacing w:before="50" w:beforeLines="50" w:after="50" w:afterLines="50"/>
      <w:outlineLvl w:val="1"/>
    </w:pPr>
  </w:style>
  <w:style w:type="paragraph" w:customStyle="1" w:styleId="116">
    <w:name w:val="标准文件_一致程度"/>
    <w:basedOn w:val="1"/>
    <w:qFormat/>
    <w:uiPriority w:val="0"/>
    <w:pPr>
      <w:spacing w:line="440" w:lineRule="exact"/>
      <w:jc w:val="center"/>
    </w:pPr>
    <w:rPr>
      <w:sz w:val="28"/>
    </w:rPr>
  </w:style>
  <w:style w:type="paragraph" w:customStyle="1" w:styleId="11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8">
    <w:name w:val="标准文件_英文图表脚注"/>
    <w:basedOn w:val="65"/>
    <w:qFormat/>
    <w:uiPriority w:val="0"/>
    <w:pPr>
      <w:widowControl/>
      <w:adjustRightInd/>
      <w:snapToGrid/>
      <w:spacing w:line="240" w:lineRule="auto"/>
      <w:ind w:left="79" w:hanging="79" w:hangingChars="80"/>
    </w:pPr>
    <w:rPr>
      <w:rFonts w:ascii="宋体" w:hAnsi="宋体"/>
    </w:rPr>
  </w:style>
  <w:style w:type="paragraph" w:customStyle="1" w:styleId="11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20">
    <w:name w:val="标准文件_英文注："/>
    <w:basedOn w:val="1"/>
    <w:next w:val="6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2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22">
    <w:name w:val="标准文件_正文表标题"/>
    <w:next w:val="6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3">
    <w:name w:val="标准文件_正文公式"/>
    <w:basedOn w:val="1"/>
    <w:next w:val="65"/>
    <w:qFormat/>
    <w:uiPriority w:val="0"/>
    <w:pPr>
      <w:tabs>
        <w:tab w:val="center" w:pos="4678"/>
        <w:tab w:val="right" w:leader="middleDot" w:pos="9356"/>
      </w:tabs>
      <w:spacing w:line="240" w:lineRule="auto"/>
    </w:pPr>
    <w:rPr>
      <w:rFonts w:ascii="宋体" w:hAnsi="宋体"/>
    </w:rPr>
  </w:style>
  <w:style w:type="paragraph" w:customStyle="1" w:styleId="124">
    <w:name w:val="标准文件_正文图标题"/>
    <w:next w:val="6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5">
    <w:name w:val="标准文件_正文英文表标题"/>
    <w:next w:val="6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6">
    <w:name w:val="标准文件_正文英文图标题"/>
    <w:next w:val="6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9">
    <w:name w:val="发布部门"/>
    <w:next w:val="6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3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3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3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7">
    <w:name w:val="封面正文"/>
    <w:qFormat/>
    <w:uiPriority w:val="0"/>
    <w:pPr>
      <w:jc w:val="both"/>
    </w:pPr>
    <w:rPr>
      <w:rFonts w:ascii="Times New Roman" w:hAnsi="Times New Roman" w:eastAsia="宋体" w:cs="Times New Roman"/>
      <w:lang w:val="en-US" w:eastAsia="zh-CN" w:bidi="ar-SA"/>
    </w:rPr>
  </w:style>
  <w:style w:type="paragraph" w:customStyle="1" w:styleId="138">
    <w:name w:val="附录二级无标题条"/>
    <w:basedOn w:val="1"/>
    <w:next w:val="6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9">
    <w:name w:val="附录三级无标题条"/>
    <w:basedOn w:val="138"/>
    <w:next w:val="66"/>
    <w:qFormat/>
    <w:uiPriority w:val="0"/>
    <w:pPr>
      <w:outlineLvl w:val="4"/>
    </w:pPr>
  </w:style>
  <w:style w:type="paragraph" w:customStyle="1" w:styleId="140">
    <w:name w:val="附录四级无标题条"/>
    <w:basedOn w:val="139"/>
    <w:next w:val="66"/>
    <w:qFormat/>
    <w:uiPriority w:val="0"/>
    <w:pPr>
      <w:outlineLvl w:val="5"/>
    </w:pPr>
  </w:style>
  <w:style w:type="paragraph" w:customStyle="1" w:styleId="141">
    <w:name w:val="附录图"/>
    <w:next w:val="6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4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43">
    <w:name w:val="附录五级无标题条"/>
    <w:basedOn w:val="140"/>
    <w:next w:val="66"/>
    <w:qFormat/>
    <w:uiPriority w:val="0"/>
    <w:pPr>
      <w:outlineLvl w:val="6"/>
    </w:pPr>
  </w:style>
  <w:style w:type="paragraph" w:customStyle="1" w:styleId="144">
    <w:name w:val="附录性质"/>
    <w:basedOn w:val="1"/>
    <w:qFormat/>
    <w:uiPriority w:val="0"/>
    <w:pPr>
      <w:widowControl/>
      <w:adjustRightInd/>
      <w:jc w:val="center"/>
    </w:pPr>
    <w:rPr>
      <w:rFonts w:ascii="黑体" w:eastAsia="黑体"/>
    </w:rPr>
  </w:style>
  <w:style w:type="paragraph" w:customStyle="1" w:styleId="145">
    <w:name w:val="附录一级无标题条"/>
    <w:basedOn w:val="97"/>
    <w:next w:val="66"/>
    <w:qFormat/>
    <w:uiPriority w:val="0"/>
    <w:pPr>
      <w:autoSpaceDN w:val="0"/>
      <w:outlineLvl w:val="2"/>
    </w:pPr>
    <w:rPr>
      <w:rFonts w:ascii="宋体" w:hAnsi="宋体" w:eastAsia="宋体"/>
    </w:rPr>
  </w:style>
  <w:style w:type="character" w:customStyle="1" w:styleId="146">
    <w:name w:val="个人答复风格"/>
    <w:qFormat/>
    <w:uiPriority w:val="0"/>
    <w:rPr>
      <w:rFonts w:ascii="Arial" w:hAnsi="Arial" w:eastAsia="宋体" w:cs="Arial"/>
      <w:color w:val="auto"/>
      <w:spacing w:val="0"/>
      <w:sz w:val="20"/>
    </w:rPr>
  </w:style>
  <w:style w:type="character" w:customStyle="1" w:styleId="147">
    <w:name w:val="个人撰写风格"/>
    <w:qFormat/>
    <w:uiPriority w:val="0"/>
    <w:rPr>
      <w:rFonts w:ascii="Arial" w:hAnsi="Arial" w:eastAsia="宋体" w:cs="Arial"/>
      <w:color w:val="auto"/>
      <w:spacing w:val="0"/>
      <w:sz w:val="20"/>
    </w:rPr>
  </w:style>
  <w:style w:type="paragraph" w:customStyle="1" w:styleId="14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50">
    <w:name w:val="列项·"/>
    <w:basedOn w:val="66"/>
    <w:qFormat/>
    <w:uiPriority w:val="0"/>
    <w:pPr>
      <w:tabs>
        <w:tab w:val="left" w:pos="840"/>
      </w:tabs>
    </w:pPr>
  </w:style>
  <w:style w:type="paragraph" w:customStyle="1" w:styleId="15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2">
    <w:name w:val="目录 21"/>
    <w:basedOn w:val="1"/>
    <w:next w:val="1"/>
    <w:semiHidden/>
    <w:qFormat/>
    <w:uiPriority w:val="0"/>
    <w:pPr>
      <w:adjustRightInd/>
      <w:spacing w:line="240" w:lineRule="auto"/>
      <w:jc w:val="left"/>
    </w:pPr>
    <w:rPr>
      <w:bCs/>
      <w:iCs/>
    </w:rPr>
  </w:style>
  <w:style w:type="paragraph" w:customStyle="1" w:styleId="153">
    <w:name w:val="目录 31"/>
    <w:basedOn w:val="1"/>
    <w:next w:val="1"/>
    <w:semiHidden/>
    <w:qFormat/>
    <w:uiPriority w:val="0"/>
    <w:pPr>
      <w:spacing w:line="240" w:lineRule="auto"/>
    </w:pPr>
    <w:rPr>
      <w:rFonts w:ascii="宋体" w:hAnsi="宋体"/>
      <w:iCs/>
    </w:rPr>
  </w:style>
  <w:style w:type="paragraph" w:customStyle="1" w:styleId="154">
    <w:name w:val="目录 41"/>
    <w:basedOn w:val="1"/>
    <w:next w:val="1"/>
    <w:semiHidden/>
    <w:qFormat/>
    <w:uiPriority w:val="0"/>
    <w:pPr>
      <w:adjustRightInd/>
      <w:spacing w:line="240" w:lineRule="auto"/>
      <w:jc w:val="left"/>
    </w:pPr>
  </w:style>
  <w:style w:type="paragraph" w:customStyle="1" w:styleId="155">
    <w:name w:val="目录 51"/>
    <w:basedOn w:val="1"/>
    <w:next w:val="1"/>
    <w:semiHidden/>
    <w:qFormat/>
    <w:uiPriority w:val="0"/>
    <w:pPr>
      <w:spacing w:line="240" w:lineRule="auto"/>
    </w:pPr>
    <w:rPr>
      <w:rFonts w:ascii="宋体" w:hAnsi="宋体"/>
    </w:rPr>
  </w:style>
  <w:style w:type="paragraph" w:customStyle="1" w:styleId="156">
    <w:name w:val="目录 61"/>
    <w:basedOn w:val="1"/>
    <w:next w:val="1"/>
    <w:semiHidden/>
    <w:qFormat/>
    <w:uiPriority w:val="0"/>
    <w:pPr>
      <w:adjustRightInd/>
      <w:spacing w:line="240" w:lineRule="auto"/>
      <w:jc w:val="left"/>
    </w:pPr>
  </w:style>
  <w:style w:type="paragraph" w:customStyle="1" w:styleId="157">
    <w:name w:val="目录 71"/>
    <w:basedOn w:val="156"/>
    <w:semiHidden/>
    <w:qFormat/>
    <w:uiPriority w:val="0"/>
    <w:pPr>
      <w:ind w:left="1260"/>
    </w:pPr>
  </w:style>
  <w:style w:type="paragraph" w:customStyle="1" w:styleId="158">
    <w:name w:val="目录 81"/>
    <w:basedOn w:val="157"/>
    <w:semiHidden/>
    <w:qFormat/>
    <w:uiPriority w:val="0"/>
    <w:pPr>
      <w:ind w:left="1470"/>
    </w:pPr>
  </w:style>
  <w:style w:type="paragraph" w:customStyle="1" w:styleId="159">
    <w:name w:val="目录 91"/>
    <w:basedOn w:val="158"/>
    <w:semiHidden/>
    <w:qFormat/>
    <w:uiPriority w:val="0"/>
    <w:pPr>
      <w:ind w:left="1680"/>
    </w:pPr>
  </w:style>
  <w:style w:type="paragraph" w:customStyle="1" w:styleId="16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61">
    <w:name w:val="其他发布部门"/>
    <w:basedOn w:val="129"/>
    <w:qFormat/>
    <w:uiPriority w:val="0"/>
    <w:pPr>
      <w:framePr w:wrap="around"/>
      <w:spacing w:line="0" w:lineRule="atLeast"/>
    </w:pPr>
    <w:rPr>
      <w:rFonts w:ascii="黑体" w:eastAsia="黑体"/>
      <w:b w:val="0"/>
    </w:rPr>
  </w:style>
  <w:style w:type="paragraph" w:customStyle="1" w:styleId="16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4">
    <w:name w:val="实施日期"/>
    <w:basedOn w:val="130"/>
    <w:qFormat/>
    <w:uiPriority w:val="0"/>
    <w:pPr>
      <w:framePr w:hSpace="0" w:wrap="around" w:xAlign="right"/>
      <w:jc w:val="right"/>
    </w:pPr>
  </w:style>
  <w:style w:type="paragraph" w:customStyle="1" w:styleId="16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7">
    <w:name w:val="无标题条"/>
    <w:next w:val="66"/>
    <w:qFormat/>
    <w:uiPriority w:val="0"/>
    <w:pPr>
      <w:jc w:val="both"/>
    </w:pPr>
    <w:rPr>
      <w:rFonts w:ascii="宋体" w:hAnsi="宋体" w:eastAsia="宋体" w:cs="Times New Roman"/>
      <w:sz w:val="21"/>
      <w:lang w:val="en-US" w:eastAsia="zh-CN" w:bidi="ar-SA"/>
    </w:rPr>
  </w:style>
  <w:style w:type="paragraph" w:customStyle="1" w:styleId="168">
    <w:name w:val="五级无标题条"/>
    <w:basedOn w:val="1"/>
    <w:qFormat/>
    <w:uiPriority w:val="0"/>
    <w:pPr>
      <w:numPr>
        <w:ilvl w:val="6"/>
        <w:numId w:val="20"/>
      </w:numPr>
      <w:adjustRightInd/>
    </w:pPr>
    <w:rPr>
      <w:szCs w:val="24"/>
    </w:rPr>
  </w:style>
  <w:style w:type="paragraph" w:customStyle="1" w:styleId="16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7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71">
    <w:name w:val="注×:后续"/>
    <w:basedOn w:val="170"/>
    <w:qFormat/>
    <w:uiPriority w:val="0"/>
    <w:pPr>
      <w:ind w:left="1406" w:leftChars="0" w:hanging="499" w:firstLineChars="0"/>
    </w:pPr>
  </w:style>
  <w:style w:type="paragraph" w:customStyle="1" w:styleId="172">
    <w:name w:val="标准文件_一级无标题"/>
    <w:basedOn w:val="115"/>
    <w:qFormat/>
    <w:uiPriority w:val="0"/>
    <w:pPr>
      <w:spacing w:before="0" w:beforeLines="0" w:after="0" w:afterLines="0"/>
      <w:outlineLvl w:val="9"/>
    </w:pPr>
    <w:rPr>
      <w:rFonts w:ascii="宋体" w:eastAsia="宋体"/>
    </w:rPr>
  </w:style>
  <w:style w:type="paragraph" w:customStyle="1" w:styleId="173">
    <w:name w:val="标准文件_五级无标题"/>
    <w:basedOn w:val="113"/>
    <w:qFormat/>
    <w:uiPriority w:val="0"/>
    <w:pPr>
      <w:spacing w:before="0" w:beforeLines="0" w:after="0" w:afterLines="0"/>
      <w:outlineLvl w:val="9"/>
    </w:pPr>
    <w:rPr>
      <w:rFonts w:ascii="宋体" w:eastAsia="宋体"/>
    </w:rPr>
  </w:style>
  <w:style w:type="paragraph" w:customStyle="1" w:styleId="174">
    <w:name w:val="标准文件_三级无标题"/>
    <w:basedOn w:val="104"/>
    <w:qFormat/>
    <w:uiPriority w:val="0"/>
    <w:pPr>
      <w:spacing w:before="0" w:beforeLines="0" w:after="0" w:afterLines="0"/>
      <w:outlineLvl w:val="9"/>
    </w:pPr>
    <w:rPr>
      <w:rFonts w:ascii="宋体" w:eastAsia="宋体"/>
    </w:rPr>
  </w:style>
  <w:style w:type="paragraph" w:customStyle="1" w:styleId="175">
    <w:name w:val="标准文件_二级无标题"/>
    <w:basedOn w:val="75"/>
    <w:qFormat/>
    <w:uiPriority w:val="0"/>
    <w:pPr>
      <w:spacing w:before="0" w:beforeLines="0" w:after="0" w:afterLines="0"/>
      <w:outlineLvl w:val="9"/>
    </w:pPr>
    <w:rPr>
      <w:rFonts w:ascii="宋体" w:eastAsia="宋体"/>
    </w:rPr>
  </w:style>
  <w:style w:type="paragraph" w:customStyle="1" w:styleId="176">
    <w:name w:val="标准_四级无标题"/>
    <w:basedOn w:val="108"/>
    <w:next w:val="66"/>
    <w:qFormat/>
    <w:uiPriority w:val="0"/>
    <w:rPr>
      <w:rFonts w:eastAsia="宋体"/>
    </w:rPr>
  </w:style>
  <w:style w:type="paragraph" w:customStyle="1" w:styleId="177">
    <w:name w:val="标准文件_四级无标题"/>
    <w:basedOn w:val="108"/>
    <w:qFormat/>
    <w:uiPriority w:val="0"/>
    <w:pPr>
      <w:spacing w:before="0" w:beforeLines="0" w:after="0" w:afterLines="0"/>
      <w:outlineLvl w:val="9"/>
    </w:pPr>
    <w:rPr>
      <w:rFonts w:ascii="宋体" w:hAnsi="黑体" w:eastAsia="宋体"/>
      <w:szCs w:val="52"/>
    </w:rPr>
  </w:style>
  <w:style w:type="paragraph" w:customStyle="1" w:styleId="178">
    <w:name w:val="标准文件_大写罗马数字编号列项"/>
    <w:basedOn w:val="66"/>
    <w:qFormat/>
    <w:uiPriority w:val="0"/>
    <w:pPr>
      <w:numPr>
        <w:ilvl w:val="0"/>
        <w:numId w:val="23"/>
      </w:numPr>
      <w:ind w:firstLine="0" w:firstLineChars="0"/>
    </w:pPr>
    <w:rPr>
      <w:rFonts w:cs="Arial"/>
      <w:szCs w:val="28"/>
    </w:rPr>
  </w:style>
  <w:style w:type="paragraph" w:customStyle="1" w:styleId="179">
    <w:name w:val="标准文件_小写罗马数字编号列项"/>
    <w:basedOn w:val="66"/>
    <w:qFormat/>
    <w:uiPriority w:val="0"/>
    <w:pPr>
      <w:numPr>
        <w:ilvl w:val="0"/>
        <w:numId w:val="24"/>
      </w:numPr>
      <w:ind w:firstLine="0" w:firstLineChars="0"/>
    </w:pPr>
    <w:rPr>
      <w:rFonts w:cs="Arial"/>
      <w:szCs w:val="28"/>
    </w:rPr>
  </w:style>
  <w:style w:type="paragraph" w:customStyle="1" w:styleId="180">
    <w:name w:val="标准文件_附录标题"/>
    <w:basedOn w:val="86"/>
    <w:qFormat/>
    <w:uiPriority w:val="0"/>
    <w:pPr>
      <w:numPr>
        <w:numId w:val="0"/>
      </w:numPr>
      <w:spacing w:after="280"/>
      <w:outlineLvl w:val="9"/>
    </w:pPr>
  </w:style>
  <w:style w:type="paragraph" w:customStyle="1" w:styleId="181">
    <w:name w:val="标准文件_二级项"/>
    <w:qFormat/>
    <w:uiPriority w:val="0"/>
    <w:rPr>
      <w:rFonts w:ascii="宋体" w:hAnsi="Times New Roman" w:eastAsia="宋体" w:cs="Times New Roman"/>
      <w:sz w:val="21"/>
      <w:lang w:val="en-US" w:eastAsia="zh-CN" w:bidi="ar-SA"/>
    </w:rPr>
  </w:style>
  <w:style w:type="paragraph" w:customStyle="1" w:styleId="182">
    <w:name w:val="标准文件_三级项"/>
    <w:basedOn w:val="1"/>
    <w:qFormat/>
    <w:uiPriority w:val="0"/>
    <w:pPr>
      <w:numPr>
        <w:ilvl w:val="2"/>
        <w:numId w:val="21"/>
      </w:numPr>
      <w:spacing w:line="536870612" w:lineRule="auto"/>
    </w:pPr>
    <w:rPr>
      <w:rFonts w:ascii="Times New Roman" w:hAnsi="Times New Roman"/>
    </w:rPr>
  </w:style>
  <w:style w:type="paragraph" w:customStyle="1" w:styleId="183">
    <w:name w:val="图表脚注说明"/>
    <w:basedOn w:val="1"/>
    <w:next w:val="66"/>
    <w:qFormat/>
    <w:uiPriority w:val="0"/>
    <w:pPr>
      <w:numPr>
        <w:ilvl w:val="0"/>
        <w:numId w:val="25"/>
      </w:numPr>
      <w:adjustRightInd/>
      <w:spacing w:line="240" w:lineRule="auto"/>
    </w:pPr>
    <w:rPr>
      <w:rFonts w:ascii="宋体" w:hAnsi="Times New Roman"/>
      <w:sz w:val="18"/>
      <w:szCs w:val="18"/>
    </w:rPr>
  </w:style>
  <w:style w:type="paragraph" w:customStyle="1" w:styleId="18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5">
    <w:name w:val="标准文件_索引字母"/>
    <w:next w:val="66"/>
    <w:qFormat/>
    <w:uiPriority w:val="0"/>
    <w:pPr>
      <w:jc w:val="center"/>
    </w:pPr>
    <w:rPr>
      <w:rFonts w:ascii="宋体" w:hAnsi="宋体" w:eastAsia="Times New Roman" w:cs="Times New Roman"/>
      <w:b/>
      <w:kern w:val="2"/>
      <w:sz w:val="21"/>
      <w:lang w:val="en-US" w:eastAsia="zh-CN" w:bidi="ar-SA"/>
    </w:rPr>
  </w:style>
  <w:style w:type="paragraph" w:customStyle="1" w:styleId="186">
    <w:name w:val="标准文件_附录前"/>
    <w:next w:val="6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8">
    <w:name w:val="标准文件_表格"/>
    <w:basedOn w:val="66"/>
    <w:qFormat/>
    <w:uiPriority w:val="0"/>
    <w:pPr>
      <w:ind w:firstLine="0" w:firstLineChars="0"/>
      <w:jc w:val="center"/>
    </w:pPr>
    <w:rPr>
      <w:sz w:val="18"/>
    </w:rPr>
  </w:style>
  <w:style w:type="paragraph" w:customStyle="1" w:styleId="189">
    <w:name w:val="标准文件_注："/>
    <w:next w:val="6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9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91">
    <w:name w:val="标准文件_示例："/>
    <w:next w:val="19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92">
    <w:name w:val="标准文件_示例内容"/>
    <w:basedOn w:val="66"/>
    <w:qFormat/>
    <w:uiPriority w:val="0"/>
    <w:pPr>
      <w:ind w:firstLine="420"/>
    </w:pPr>
    <w:rPr>
      <w:sz w:val="18"/>
    </w:rPr>
  </w:style>
  <w:style w:type="paragraph" w:customStyle="1" w:styleId="193">
    <w:name w:val="标准文件_示例×："/>
    <w:basedOn w:val="1"/>
    <w:next w:val="19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4">
    <w:name w:val="标准文件_段 Char"/>
    <w:link w:val="66"/>
    <w:qFormat/>
    <w:uiPriority w:val="0"/>
    <w:rPr>
      <w:rFonts w:ascii="Times New Roman" w:hAnsi="Times New Roman"/>
      <w:sz w:val="21"/>
    </w:rPr>
  </w:style>
  <w:style w:type="paragraph" w:customStyle="1" w:styleId="195">
    <w:name w:val="标准文件_表格续"/>
    <w:basedOn w:val="66"/>
    <w:next w:val="66"/>
    <w:qFormat/>
    <w:uiPriority w:val="0"/>
    <w:pPr>
      <w:jc w:val="center"/>
    </w:pPr>
    <w:rPr>
      <w:rFonts w:ascii="黑体" w:hAnsi="黑体" w:eastAsia="黑体"/>
    </w:rPr>
  </w:style>
  <w:style w:type="character" w:styleId="196">
    <w:name w:val="Placeholder Text"/>
    <w:basedOn w:val="30"/>
    <w:semiHidden/>
    <w:qFormat/>
    <w:uiPriority w:val="99"/>
    <w:rPr>
      <w:color w:val="808080"/>
    </w:rPr>
  </w:style>
  <w:style w:type="paragraph" w:customStyle="1" w:styleId="197">
    <w:name w:val="标准文件_二级项2"/>
    <w:basedOn w:val="66"/>
    <w:qFormat/>
    <w:uiPriority w:val="0"/>
    <w:pPr>
      <w:numPr>
        <w:ilvl w:val="1"/>
        <w:numId w:val="21"/>
      </w:numPr>
      <w:ind w:firstLine="0" w:firstLineChars="0"/>
    </w:pPr>
  </w:style>
  <w:style w:type="paragraph" w:customStyle="1" w:styleId="198">
    <w:name w:val="标准文件_三级项2"/>
    <w:basedOn w:val="66"/>
    <w:qFormat/>
    <w:uiPriority w:val="0"/>
    <w:pPr>
      <w:numPr>
        <w:ilvl w:val="0"/>
        <w:numId w:val="30"/>
      </w:numPr>
      <w:spacing w:line="300" w:lineRule="exact"/>
      <w:ind w:firstLineChars="0"/>
    </w:pPr>
  </w:style>
  <w:style w:type="paragraph" w:customStyle="1" w:styleId="199">
    <w:name w:val="标准文件_一级项2"/>
    <w:basedOn w:val="66"/>
    <w:qFormat/>
    <w:uiPriority w:val="0"/>
    <w:pPr>
      <w:numPr>
        <w:ilvl w:val="0"/>
        <w:numId w:val="31"/>
      </w:numPr>
      <w:spacing w:line="300" w:lineRule="exact"/>
      <w:ind w:firstLineChars="0"/>
    </w:pPr>
  </w:style>
  <w:style w:type="paragraph" w:customStyle="1" w:styleId="200">
    <w:name w:val="标准文件_提示"/>
    <w:basedOn w:val="66"/>
    <w:next w:val="66"/>
    <w:qFormat/>
    <w:uiPriority w:val="0"/>
    <w:pPr>
      <w:ind w:firstLine="420"/>
    </w:pPr>
    <w:rPr>
      <w:rFonts w:ascii="黑体" w:eastAsia="黑体"/>
    </w:rPr>
  </w:style>
  <w:style w:type="character" w:customStyle="1" w:styleId="201">
    <w:name w:val="标准文件_来源"/>
    <w:basedOn w:val="30"/>
    <w:qFormat/>
    <w:uiPriority w:val="1"/>
    <w:rPr>
      <w:rFonts w:eastAsia="宋体"/>
      <w:sz w:val="21"/>
    </w:rPr>
  </w:style>
  <w:style w:type="paragraph" w:customStyle="1" w:styleId="20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3">
    <w:name w:val="其他发布日期"/>
    <w:basedOn w:val="130"/>
    <w:qFormat/>
    <w:uiPriority w:val="0"/>
    <w:pPr>
      <w:framePr w:w="3997" w:h="471" w:hRule="exact" w:hSpace="0" w:vSpace="181" w:wrap="around" w:vAnchor="page" w:hAnchor="page" w:x="1419" w:y="14097"/>
    </w:pPr>
  </w:style>
  <w:style w:type="paragraph" w:customStyle="1" w:styleId="204">
    <w:name w:val="其他实施日期"/>
    <w:basedOn w:val="164"/>
    <w:qFormat/>
    <w:uiPriority w:val="0"/>
    <w:pPr>
      <w:framePr w:w="3997" w:h="471" w:hRule="exact" w:vSpace="181" w:wrap="around" w:vAnchor="page" w:hAnchor="page" w:x="7089" w:y="14097"/>
    </w:pPr>
  </w:style>
  <w:style w:type="paragraph" w:customStyle="1" w:styleId="205">
    <w:name w:val="标准文件_文件编号"/>
    <w:basedOn w:val="6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6">
    <w:name w:val="标准文件_替换文件编号"/>
    <w:basedOn w:val="205"/>
    <w:qFormat/>
    <w:uiPriority w:val="0"/>
    <w:pPr>
      <w:spacing w:before="57"/>
    </w:pPr>
    <w:rPr>
      <w:sz w:val="21"/>
    </w:rPr>
  </w:style>
  <w:style w:type="paragraph" w:customStyle="1" w:styleId="207">
    <w:name w:val="标准文件_文件名称"/>
    <w:basedOn w:val="66"/>
    <w:next w:val="6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8">
    <w:name w:val="标准文件_附录图标号"/>
    <w:basedOn w:val="66"/>
    <w:next w:val="6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9">
    <w:name w:val="标准文件_附录表标号"/>
    <w:basedOn w:val="66"/>
    <w:next w:val="66"/>
    <w:qFormat/>
    <w:uiPriority w:val="0"/>
    <w:pPr>
      <w:numPr>
        <w:ilvl w:val="0"/>
        <w:numId w:val="5"/>
      </w:numPr>
      <w:spacing w:line="14" w:lineRule="exact"/>
      <w:ind w:firstLine="0" w:firstLineChars="0"/>
      <w:jc w:val="center"/>
    </w:pPr>
    <w:rPr>
      <w:rFonts w:eastAsia="黑体"/>
      <w:vanish/>
      <w:sz w:val="2"/>
    </w:rPr>
  </w:style>
  <w:style w:type="paragraph" w:customStyle="1" w:styleId="210">
    <w:name w:val="标准文件_引言一级条标题"/>
    <w:basedOn w:val="66"/>
    <w:next w:val="66"/>
    <w:qFormat/>
    <w:uiPriority w:val="0"/>
    <w:pPr>
      <w:numPr>
        <w:ilvl w:val="1"/>
        <w:numId w:val="8"/>
      </w:numPr>
      <w:spacing w:before="50" w:beforeLines="50" w:after="50" w:afterLines="50"/>
      <w:ind w:firstLineChars="0"/>
    </w:pPr>
    <w:rPr>
      <w:rFonts w:ascii="黑体" w:eastAsia="黑体"/>
    </w:rPr>
  </w:style>
  <w:style w:type="paragraph" w:customStyle="1" w:styleId="211">
    <w:name w:val="标准文件_引言二级条标题"/>
    <w:basedOn w:val="66"/>
    <w:next w:val="66"/>
    <w:qFormat/>
    <w:uiPriority w:val="0"/>
    <w:pPr>
      <w:numPr>
        <w:ilvl w:val="2"/>
        <w:numId w:val="8"/>
      </w:numPr>
      <w:spacing w:before="50" w:beforeLines="50" w:after="50" w:afterLines="50"/>
      <w:ind w:firstLineChars="0"/>
    </w:pPr>
    <w:rPr>
      <w:rFonts w:ascii="黑体" w:eastAsia="黑体"/>
    </w:rPr>
  </w:style>
  <w:style w:type="paragraph" w:customStyle="1" w:styleId="212">
    <w:name w:val="标准文件_引言三级条标题"/>
    <w:basedOn w:val="66"/>
    <w:next w:val="66"/>
    <w:qFormat/>
    <w:uiPriority w:val="0"/>
    <w:pPr>
      <w:numPr>
        <w:ilvl w:val="3"/>
        <w:numId w:val="8"/>
      </w:numPr>
      <w:spacing w:before="50" w:beforeLines="50" w:after="50" w:afterLines="50"/>
      <w:ind w:firstLineChars="0"/>
    </w:pPr>
    <w:rPr>
      <w:rFonts w:ascii="黑体" w:eastAsia="黑体"/>
    </w:rPr>
  </w:style>
  <w:style w:type="paragraph" w:customStyle="1" w:styleId="213">
    <w:name w:val="标准文件_引言四级条标题"/>
    <w:basedOn w:val="66"/>
    <w:next w:val="66"/>
    <w:qFormat/>
    <w:uiPriority w:val="0"/>
    <w:pPr>
      <w:numPr>
        <w:ilvl w:val="4"/>
        <w:numId w:val="8"/>
      </w:numPr>
      <w:spacing w:before="50" w:beforeLines="50" w:after="50" w:afterLines="50"/>
      <w:ind w:firstLineChars="0"/>
    </w:pPr>
    <w:rPr>
      <w:rFonts w:ascii="黑体" w:eastAsia="黑体"/>
    </w:rPr>
  </w:style>
  <w:style w:type="paragraph" w:customStyle="1" w:styleId="214">
    <w:name w:val="标准文件_引言五级条标题"/>
    <w:basedOn w:val="66"/>
    <w:next w:val="66"/>
    <w:qFormat/>
    <w:uiPriority w:val="0"/>
    <w:pPr>
      <w:numPr>
        <w:ilvl w:val="5"/>
        <w:numId w:val="8"/>
      </w:numPr>
      <w:spacing w:before="50" w:beforeLines="50" w:after="50" w:afterLines="50"/>
      <w:ind w:firstLineChars="0"/>
    </w:pPr>
    <w:rPr>
      <w:rFonts w:ascii="黑体" w:eastAsia="黑体"/>
    </w:rPr>
  </w:style>
  <w:style w:type="paragraph" w:customStyle="1" w:styleId="215">
    <w:name w:val="标准文件_注后"/>
    <w:basedOn w:val="66"/>
    <w:qFormat/>
    <w:uiPriority w:val="0"/>
    <w:pPr>
      <w:ind w:left="811" w:firstLine="0" w:firstLineChars="0"/>
    </w:pPr>
    <w:rPr>
      <w:sz w:val="18"/>
    </w:rPr>
  </w:style>
  <w:style w:type="paragraph" w:customStyle="1" w:styleId="216">
    <w:name w:val="标准文件_注X后"/>
    <w:basedOn w:val="66"/>
    <w:qFormat/>
    <w:uiPriority w:val="0"/>
    <w:pPr>
      <w:ind w:left="811" w:firstLine="0" w:firstLineChars="0"/>
    </w:pPr>
    <w:rPr>
      <w:sz w:val="18"/>
    </w:rPr>
  </w:style>
  <w:style w:type="paragraph" w:customStyle="1" w:styleId="217">
    <w:name w:val="标准文件_示例后"/>
    <w:basedOn w:val="66"/>
    <w:qFormat/>
    <w:uiPriority w:val="0"/>
    <w:pPr>
      <w:ind w:left="964" w:firstLine="0" w:firstLineChars="0"/>
    </w:pPr>
    <w:rPr>
      <w:sz w:val="18"/>
    </w:rPr>
  </w:style>
  <w:style w:type="paragraph" w:customStyle="1" w:styleId="218">
    <w:name w:val="标准文件_示例X后"/>
    <w:basedOn w:val="66"/>
    <w:link w:val="219"/>
    <w:qFormat/>
    <w:uiPriority w:val="0"/>
    <w:pPr>
      <w:ind w:left="1049" w:firstLine="0" w:firstLineChars="0"/>
    </w:pPr>
    <w:rPr>
      <w:sz w:val="18"/>
    </w:rPr>
  </w:style>
  <w:style w:type="character" w:customStyle="1" w:styleId="219">
    <w:name w:val="标准文件_示例X后 字符"/>
    <w:basedOn w:val="194"/>
    <w:link w:val="218"/>
    <w:qFormat/>
    <w:uiPriority w:val="0"/>
    <w:rPr>
      <w:rFonts w:ascii="宋体" w:hAnsi="Times New Roman"/>
      <w:sz w:val="18"/>
    </w:rPr>
  </w:style>
  <w:style w:type="paragraph" w:customStyle="1" w:styleId="220">
    <w:name w:val="标准文件_索引项"/>
    <w:basedOn w:val="66"/>
    <w:next w:val="66"/>
    <w:qFormat/>
    <w:uiPriority w:val="0"/>
    <w:pPr>
      <w:tabs>
        <w:tab w:val="right" w:leader="dot" w:pos="9356"/>
      </w:tabs>
      <w:ind w:left="210" w:hanging="210" w:firstLineChars="0"/>
      <w:jc w:val="left"/>
    </w:pPr>
  </w:style>
  <w:style w:type="paragraph" w:customStyle="1" w:styleId="221">
    <w:name w:val="标准文件_附录一级无标题"/>
    <w:basedOn w:val="88"/>
    <w:qFormat/>
    <w:uiPriority w:val="0"/>
    <w:pPr>
      <w:spacing w:before="0" w:beforeLines="0" w:after="0" w:afterLines="0" w:line="276" w:lineRule="auto"/>
      <w:outlineLvl w:val="9"/>
    </w:pPr>
    <w:rPr>
      <w:rFonts w:ascii="宋体" w:eastAsia="宋体"/>
    </w:rPr>
  </w:style>
  <w:style w:type="paragraph" w:customStyle="1" w:styleId="222">
    <w:name w:val="标准文件_附录二级无标题"/>
    <w:basedOn w:val="89"/>
    <w:qFormat/>
    <w:uiPriority w:val="0"/>
    <w:pPr>
      <w:spacing w:before="0" w:beforeLines="0" w:after="0" w:afterLines="0" w:line="276" w:lineRule="auto"/>
      <w:outlineLvl w:val="9"/>
    </w:pPr>
    <w:rPr>
      <w:rFonts w:ascii="宋体" w:eastAsia="宋体"/>
    </w:rPr>
  </w:style>
  <w:style w:type="paragraph" w:customStyle="1" w:styleId="223">
    <w:name w:val="标准文件_附录三级无标题"/>
    <w:basedOn w:val="91"/>
    <w:qFormat/>
    <w:uiPriority w:val="0"/>
    <w:pPr>
      <w:spacing w:before="0" w:beforeLines="0" w:after="0" w:afterLines="0" w:line="276" w:lineRule="auto"/>
      <w:outlineLvl w:val="9"/>
    </w:pPr>
    <w:rPr>
      <w:rFonts w:ascii="宋体" w:eastAsia="宋体"/>
    </w:rPr>
  </w:style>
  <w:style w:type="paragraph" w:customStyle="1" w:styleId="224">
    <w:name w:val="标准文件_附录四级无标题"/>
    <w:basedOn w:val="92"/>
    <w:qFormat/>
    <w:uiPriority w:val="0"/>
    <w:pPr>
      <w:spacing w:before="0" w:beforeLines="0" w:after="0" w:afterLines="0" w:line="276" w:lineRule="auto"/>
      <w:outlineLvl w:val="9"/>
    </w:pPr>
    <w:rPr>
      <w:rFonts w:ascii="宋体" w:eastAsia="宋体"/>
    </w:rPr>
  </w:style>
  <w:style w:type="paragraph" w:customStyle="1" w:styleId="225">
    <w:name w:val="标准文件_附录五级无标题"/>
    <w:basedOn w:val="94"/>
    <w:qFormat/>
    <w:uiPriority w:val="0"/>
    <w:pPr>
      <w:spacing w:before="0" w:beforeLines="0" w:after="0" w:afterLines="0" w:line="276" w:lineRule="auto"/>
      <w:outlineLvl w:val="9"/>
    </w:pPr>
    <w:rPr>
      <w:rFonts w:ascii="宋体" w:eastAsia="宋体"/>
    </w:rPr>
  </w:style>
  <w:style w:type="paragraph" w:customStyle="1" w:styleId="226">
    <w:name w:val="标准文件_引言一级无标题"/>
    <w:basedOn w:val="210"/>
    <w:next w:val="66"/>
    <w:qFormat/>
    <w:uiPriority w:val="0"/>
    <w:pPr>
      <w:spacing w:before="0" w:beforeLines="0" w:after="0" w:afterLines="0" w:line="276" w:lineRule="auto"/>
    </w:pPr>
    <w:rPr>
      <w:rFonts w:ascii="宋体" w:eastAsia="宋体"/>
    </w:rPr>
  </w:style>
  <w:style w:type="paragraph" w:customStyle="1" w:styleId="227">
    <w:name w:val="标准文件_引言二级无标题"/>
    <w:basedOn w:val="211"/>
    <w:next w:val="66"/>
    <w:qFormat/>
    <w:uiPriority w:val="0"/>
    <w:pPr>
      <w:spacing w:before="0" w:beforeLines="0" w:after="0" w:afterLines="0" w:line="276" w:lineRule="auto"/>
    </w:pPr>
    <w:rPr>
      <w:rFonts w:ascii="宋体" w:eastAsia="宋体"/>
    </w:rPr>
  </w:style>
  <w:style w:type="paragraph" w:customStyle="1" w:styleId="228">
    <w:name w:val="标准文件_引言三级无标题"/>
    <w:basedOn w:val="212"/>
    <w:qFormat/>
    <w:uiPriority w:val="0"/>
    <w:pPr>
      <w:spacing w:before="0" w:beforeLines="0" w:after="0" w:afterLines="0" w:line="276" w:lineRule="auto"/>
    </w:pPr>
    <w:rPr>
      <w:rFonts w:ascii="宋体" w:eastAsia="宋体"/>
    </w:rPr>
  </w:style>
  <w:style w:type="paragraph" w:customStyle="1" w:styleId="229">
    <w:name w:val="标准文件_引言四级无标题"/>
    <w:basedOn w:val="213"/>
    <w:next w:val="66"/>
    <w:qFormat/>
    <w:uiPriority w:val="0"/>
    <w:pPr>
      <w:spacing w:before="0" w:beforeLines="0" w:after="0" w:afterLines="0" w:line="276" w:lineRule="auto"/>
    </w:pPr>
    <w:rPr>
      <w:rFonts w:ascii="宋体" w:eastAsia="宋体"/>
    </w:rPr>
  </w:style>
  <w:style w:type="paragraph" w:customStyle="1" w:styleId="230">
    <w:name w:val="标准文件_引言五级无标题"/>
    <w:basedOn w:val="214"/>
    <w:next w:val="66"/>
    <w:qFormat/>
    <w:uiPriority w:val="0"/>
    <w:pPr>
      <w:spacing w:before="0" w:beforeLines="0" w:after="0" w:afterLines="0" w:line="276" w:lineRule="auto"/>
    </w:pPr>
    <w:rPr>
      <w:rFonts w:ascii="宋体" w:eastAsia="宋体"/>
    </w:rPr>
  </w:style>
  <w:style w:type="paragraph" w:customStyle="1" w:styleId="231">
    <w:name w:val="标准文件_索引标题"/>
    <w:basedOn w:val="73"/>
    <w:next w:val="66"/>
    <w:qFormat/>
    <w:uiPriority w:val="0"/>
    <w:rPr>
      <w:rFonts w:hAnsi="黑体"/>
    </w:rPr>
  </w:style>
  <w:style w:type="paragraph" w:customStyle="1" w:styleId="232">
    <w:name w:val="标准文件_脚注内容"/>
    <w:basedOn w:val="66"/>
    <w:qFormat/>
    <w:uiPriority w:val="0"/>
    <w:pPr>
      <w:ind w:left="400" w:leftChars="200" w:hanging="200" w:hangingChars="200"/>
    </w:pPr>
    <w:rPr>
      <w:sz w:val="15"/>
    </w:rPr>
  </w:style>
  <w:style w:type="paragraph" w:customStyle="1" w:styleId="233">
    <w:name w:val="标准文件_术语条一"/>
    <w:basedOn w:val="172"/>
    <w:next w:val="66"/>
    <w:qFormat/>
    <w:uiPriority w:val="0"/>
  </w:style>
  <w:style w:type="paragraph" w:customStyle="1" w:styleId="234">
    <w:name w:val="标准文件_术语条二"/>
    <w:basedOn w:val="175"/>
    <w:next w:val="66"/>
    <w:qFormat/>
    <w:uiPriority w:val="0"/>
  </w:style>
  <w:style w:type="paragraph" w:customStyle="1" w:styleId="235">
    <w:name w:val="标准文件_术语条三"/>
    <w:basedOn w:val="174"/>
    <w:next w:val="66"/>
    <w:qFormat/>
    <w:uiPriority w:val="0"/>
  </w:style>
  <w:style w:type="paragraph" w:customStyle="1" w:styleId="236">
    <w:name w:val="标准文件_术语条四"/>
    <w:basedOn w:val="177"/>
    <w:next w:val="66"/>
    <w:qFormat/>
    <w:uiPriority w:val="0"/>
  </w:style>
  <w:style w:type="paragraph" w:customStyle="1" w:styleId="237">
    <w:name w:val="标准文件_术语条五"/>
    <w:basedOn w:val="173"/>
    <w:next w:val="66"/>
    <w:qFormat/>
    <w:uiPriority w:val="0"/>
  </w:style>
  <w:style w:type="paragraph" w:customStyle="1" w:styleId="23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9">
    <w:name w:val="发布"/>
    <w:basedOn w:val="30"/>
    <w:qFormat/>
    <w:uiPriority w:val="0"/>
    <w:rPr>
      <w:rFonts w:ascii="黑体" w:eastAsia="黑体"/>
      <w:spacing w:val="85"/>
      <w:w w:val="100"/>
      <w:position w:val="3"/>
      <w:sz w:val="28"/>
      <w:szCs w:val="28"/>
    </w:rPr>
  </w:style>
  <w:style w:type="paragraph" w:customStyle="1" w:styleId="240">
    <w:name w:val="CodeBlock"/>
    <w:link w:val="241"/>
    <w:unhideWhenUsed/>
    <w:qFormat/>
    <w:uiPriority w:val="99"/>
    <w:pPr>
      <w:widowControl w:val="0"/>
      <w:pBdr>
        <w:top w:val="single" w:color="E3E5E8" w:sz="6" w:space="6"/>
        <w:left w:val="single" w:color="E3E5E8" w:sz="6" w:space="6"/>
        <w:bottom w:val="single" w:color="E3E5E8" w:sz="6" w:space="4"/>
        <w:right w:val="single" w:color="E3E5E8" w:sz="6" w:space="6"/>
      </w:pBdr>
      <w:shd w:val="clear" w:color="auto" w:fill="F7F7F7"/>
      <w:autoSpaceDE w:val="0"/>
      <w:autoSpaceDN w:val="0"/>
      <w:adjustRightInd w:val="0"/>
      <w:spacing w:before="60" w:after="96" w:line="288" w:lineRule="auto"/>
      <w:ind w:left="120" w:right="120"/>
    </w:pPr>
    <w:rPr>
      <w:rFonts w:hint="eastAsia" w:ascii="Consolas" w:hAnsi="Consolas" w:eastAsia="Consolas" w:cs="Times New Roman"/>
      <w:color w:val="000000"/>
      <w:szCs w:val="24"/>
      <w:lang w:val="en-US" w:eastAsia="zh-CN" w:bidi="ar-SA"/>
    </w:rPr>
  </w:style>
  <w:style w:type="character" w:customStyle="1" w:styleId="241">
    <w:name w:val="CodeBlock Text"/>
    <w:link w:val="240"/>
    <w:unhideWhenUsed/>
    <w:qFormat/>
    <w:uiPriority w:val="99"/>
    <w:rPr>
      <w:rFonts w:hint="eastAsia" w:ascii="Consolas" w:hAnsi="Consolas" w:eastAsia="Consolas"/>
      <w:color w:val="000000"/>
      <w:sz w:val="24"/>
      <w:szCs w:val="24"/>
    </w:rPr>
  </w:style>
  <w:style w:type="character" w:customStyle="1" w:styleId="242">
    <w:name w:val="标题 1 字符1"/>
    <w:basedOn w:val="30"/>
    <w:link w:val="2"/>
    <w:unhideWhenUsed/>
    <w:qFormat/>
    <w:uiPriority w:val="99"/>
    <w:rPr>
      <w:rFonts w:hint="eastAsia" w:ascii="Tahoma" w:hAnsi="Tahoma" w:eastAsia="Tahoma"/>
      <w:b/>
      <w:sz w:val="48"/>
      <w:szCs w:val="24"/>
    </w:rPr>
  </w:style>
  <w:style w:type="character" w:customStyle="1" w:styleId="243">
    <w:name w:val="标题 2 字符1"/>
    <w:basedOn w:val="30"/>
    <w:link w:val="3"/>
    <w:unhideWhenUsed/>
    <w:qFormat/>
    <w:uiPriority w:val="99"/>
    <w:rPr>
      <w:rFonts w:hint="eastAsia" w:ascii="Tahoma" w:hAnsi="Tahoma" w:eastAsia="Tahoma"/>
      <w:b/>
      <w:sz w:val="36"/>
      <w:szCs w:val="24"/>
    </w:rPr>
  </w:style>
  <w:style w:type="character" w:customStyle="1" w:styleId="244">
    <w:name w:val="标题 3 字符1"/>
    <w:basedOn w:val="30"/>
    <w:link w:val="4"/>
    <w:unhideWhenUsed/>
    <w:qFormat/>
    <w:uiPriority w:val="99"/>
    <w:rPr>
      <w:rFonts w:hint="eastAsia" w:ascii="Tahoma" w:hAnsi="Tahoma" w:eastAsia="Tahoma"/>
      <w:b/>
      <w:sz w:val="28"/>
      <w:szCs w:val="24"/>
    </w:rPr>
  </w:style>
  <w:style w:type="character" w:customStyle="1" w:styleId="245">
    <w:name w:val="标题 4 字符1"/>
    <w:basedOn w:val="30"/>
    <w:link w:val="5"/>
    <w:unhideWhenUsed/>
    <w:qFormat/>
    <w:uiPriority w:val="99"/>
    <w:rPr>
      <w:rFonts w:hint="eastAsia" w:ascii="Tahoma" w:hAnsi="Tahoma" w:eastAsia="Tahoma"/>
      <w:b/>
      <w:sz w:val="24"/>
      <w:szCs w:val="24"/>
    </w:rPr>
  </w:style>
  <w:style w:type="character" w:customStyle="1" w:styleId="246">
    <w:name w:val="标题 5 字符1"/>
    <w:basedOn w:val="30"/>
    <w:link w:val="6"/>
    <w:unhideWhenUsed/>
    <w:qFormat/>
    <w:uiPriority w:val="99"/>
    <w:rPr>
      <w:rFonts w:hint="eastAsia" w:ascii="Tahoma" w:hAnsi="Tahoma" w:eastAsia="Tahoma"/>
      <w:b/>
      <w:sz w:val="24"/>
      <w:szCs w:val="24"/>
    </w:rPr>
  </w:style>
  <w:style w:type="character" w:customStyle="1" w:styleId="247">
    <w:name w:val="标题 6 字符1"/>
    <w:basedOn w:val="30"/>
    <w:link w:val="7"/>
    <w:unhideWhenUsed/>
    <w:qFormat/>
    <w:uiPriority w:val="99"/>
    <w:rPr>
      <w:rFonts w:hint="eastAsia" w:ascii="Tahoma" w:hAnsi="Tahoma" w:eastAsia="Tahoma"/>
      <w:b/>
      <w:sz w:val="16"/>
      <w:szCs w:val="24"/>
    </w:rPr>
  </w:style>
  <w:style w:type="character" w:customStyle="1" w:styleId="248">
    <w:name w:val="HTML 预设格式 字符"/>
    <w:basedOn w:val="30"/>
    <w:link w:val="26"/>
    <w:unhideWhenUsed/>
    <w:qFormat/>
    <w:uiPriority w:val="99"/>
    <w:rPr>
      <w:rFonts w:hint="eastAsia" w:ascii="Courier New" w:hAnsi="Courier New"/>
      <w:sz w:val="24"/>
      <w:szCs w:val="24"/>
    </w:rPr>
  </w:style>
  <w:style w:type="character" w:customStyle="1" w:styleId="249">
    <w:name w:val="HTML 地址 字符"/>
    <w:basedOn w:val="30"/>
    <w:link w:val="14"/>
    <w:unhideWhenUsed/>
    <w:qFormat/>
    <w:uiPriority w:val="99"/>
    <w:rPr>
      <w:rFonts w:hint="eastAsia" w:ascii="Tahoma" w:hAnsi="Tahoma" w:eastAsia="Tahoma"/>
      <w:i/>
      <w:sz w:val="24"/>
      <w:szCs w:val="24"/>
    </w:rPr>
  </w:style>
  <w:style w:type="character" w:customStyle="1" w:styleId="250">
    <w:name w:val="引用 字符1"/>
    <w:basedOn w:val="30"/>
    <w:link w:val="56"/>
    <w:unhideWhenUsed/>
    <w:qFormat/>
    <w:uiPriority w:val="99"/>
    <w:rPr>
      <w:rFonts w:hint="eastAsia" w:ascii="Tahoma" w:hAnsi="Tahoma" w:eastAsia="Tahoma"/>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B3BEDB4F2724F9D81F4444A5CCE266D"/>
        <w:style w:val=""/>
        <w:category>
          <w:name w:val="常规"/>
          <w:gallery w:val="placeholder"/>
        </w:category>
        <w:types>
          <w:type w:val="bbPlcHdr"/>
        </w:types>
        <w:behaviors>
          <w:behavior w:val="content"/>
        </w:behaviors>
        <w:description w:val=""/>
        <w:guid w:val="{9A791DFB-56F6-4B85-997E-8EF3CEE1C2DA}"/>
      </w:docPartPr>
      <w:docPartBody>
        <w:p>
          <w:pPr>
            <w:pStyle w:val="5"/>
            <w:rPr>
              <w:rFonts w:hint="eastAsia"/>
            </w:rPr>
          </w:pPr>
          <w:r>
            <w:rPr>
              <w:rStyle w:val="4"/>
              <w:rFonts w:hint="eastAsia"/>
            </w:rPr>
            <w:t>单击或点击此处输入文字。</w:t>
          </w:r>
        </w:p>
      </w:docPartBody>
    </w:docPart>
    <w:docPart>
      <w:docPartPr>
        <w:name w:val="78956B8278AF41489B4C226600D2E8C4"/>
        <w:style w:val=""/>
        <w:category>
          <w:name w:val="常规"/>
          <w:gallery w:val="placeholder"/>
        </w:category>
        <w:types>
          <w:type w:val="bbPlcHdr"/>
        </w:types>
        <w:behaviors>
          <w:behavior w:val="content"/>
        </w:behaviors>
        <w:description w:val=""/>
        <w:guid w:val="{35D7B9DB-82B3-43EC-9478-2F4253E62990}"/>
      </w:docPartPr>
      <w:docPartBody>
        <w:p>
          <w:pPr>
            <w:pStyle w:val="6"/>
            <w:rPr>
              <w:rFonts w:hint="eastAsia"/>
            </w:rPr>
          </w:pPr>
          <w:r>
            <w:rPr>
              <w:rStyle w:val="4"/>
              <w:rFonts w:hint="eastAsia"/>
            </w:rPr>
            <w:t>选择一项。</w:t>
          </w:r>
        </w:p>
      </w:docPartBody>
    </w:docPart>
    <w:docPart>
      <w:docPartPr>
        <w:name w:val="DD487E154D8B46B1811108614A11313A"/>
        <w:style w:val=""/>
        <w:category>
          <w:name w:val="常规"/>
          <w:gallery w:val="placeholder"/>
        </w:category>
        <w:types>
          <w:type w:val="bbPlcHdr"/>
        </w:types>
        <w:behaviors>
          <w:behavior w:val="content"/>
        </w:behaviors>
        <w:description w:val=""/>
        <w:guid w:val="{BDA84726-025B-4CC9-AFA0-B8C5A34685AA}"/>
      </w:docPartPr>
      <w:docPartBody>
        <w:p>
          <w:pPr>
            <w:pStyle w:val="7"/>
            <w:rPr>
              <w:rFonts w:hint="eastAsia"/>
            </w:rPr>
          </w:pPr>
          <w:r>
            <w:rPr>
              <w:rStyle w:val="4"/>
              <w:rFonts w:hint="eastAsia"/>
            </w:rPr>
            <w:t>选择一项。</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EA"/>
    <w:rsid w:val="00012E39"/>
    <w:rsid w:val="00016C38"/>
    <w:rsid w:val="00080E5C"/>
    <w:rsid w:val="000B27C4"/>
    <w:rsid w:val="0015508C"/>
    <w:rsid w:val="001B4D19"/>
    <w:rsid w:val="002304FE"/>
    <w:rsid w:val="00272219"/>
    <w:rsid w:val="0032164C"/>
    <w:rsid w:val="003A36C4"/>
    <w:rsid w:val="003F208D"/>
    <w:rsid w:val="003F3ABE"/>
    <w:rsid w:val="004066D0"/>
    <w:rsid w:val="004A37C8"/>
    <w:rsid w:val="005C1976"/>
    <w:rsid w:val="005D0845"/>
    <w:rsid w:val="005D70EA"/>
    <w:rsid w:val="006520B3"/>
    <w:rsid w:val="006E28E0"/>
    <w:rsid w:val="006F7335"/>
    <w:rsid w:val="00752026"/>
    <w:rsid w:val="007A5C41"/>
    <w:rsid w:val="00883F06"/>
    <w:rsid w:val="0095551E"/>
    <w:rsid w:val="00966175"/>
    <w:rsid w:val="00990BD9"/>
    <w:rsid w:val="00AC238E"/>
    <w:rsid w:val="00B270CE"/>
    <w:rsid w:val="00B35F66"/>
    <w:rsid w:val="00CF01CD"/>
    <w:rsid w:val="00E16805"/>
    <w:rsid w:val="00EB2830"/>
    <w:rsid w:val="00F46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9B3BEDB4F2724F9D81F4444A5CCE266D"/>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6">
    <w:name w:val="78956B8278AF41489B4C226600D2E8C4"/>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customStyle="1" w:styleId="7">
    <w:name w:val="DD487E154D8B46B1811108614A11313A"/>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datastoreItem>
</file>

<file path=docProps/app.xml><?xml version="1.0" encoding="utf-8"?>
<Properties xmlns="http://schemas.openxmlformats.org/officeDocument/2006/extended-properties" xmlns:vt="http://schemas.openxmlformats.org/officeDocument/2006/docPropsVTypes">
  <Template>Normal.dotm</Template>
  <Company>金山软件</Company>
  <Pages>8</Pages>
  <Words>485</Words>
  <Characters>2767</Characters>
  <Lines>23</Lines>
  <Paragraphs>6</Paragraphs>
  <TotalTime>454</TotalTime>
  <ScaleCrop>false</ScaleCrop>
  <LinksUpToDate>false</LinksUpToDate>
  <CharactersWithSpaces>3246</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2025-05-23T07:10:00Z</dcterms:created>
  <dc:creator>wps</dc:creator>
  <cp:lastModifiedBy>wps</cp:lastModifiedBy>
  <dcterms:modified xsi:type="dcterms:W3CDTF">2025-09-10T09:00:13Z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ICV">
    <vt:lpwstr>D906E76CCDD14C37BE44A33662B0CD0E_13</vt:lpwstr>
  </property>
  <property fmtid="{D5CDD505-2E9C-101B-9397-08002B2CF9AE}" pid="15" name="KSOProductBuildVer">
    <vt:lpwstr>2052-12.8.2.15091</vt:lpwstr>
  </property>
  <property fmtid="{D5CDD505-2E9C-101B-9397-08002B2CF9AE}" pid="16" name="KSOTemplateDocerSaveRecord">
    <vt:lpwstr>eyJoZGlkIjoiMTNmNWJkZTUyMmM5ZGM3MjkxODkyNTlkNTY4MDQ3NDciLCJ1c2VySWQiOiIyMzYzNjkyMzYifQ==</vt:lpwstr>
  </property>
</Properties>
</file>